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Pr="009A51CD">
        <w:rPr>
          <w:color w:val="000000"/>
        </w:rPr>
        <w:t xml:space="preserve"> </w:t>
      </w:r>
      <w:r w:rsidR="009D3F69">
        <w:t>внесення змін до</w:t>
      </w:r>
      <w:r w:rsidR="00EF61AB" w:rsidRPr="00EF61AB">
        <w:t xml:space="preserve"> </w:t>
      </w:r>
      <w:r w:rsidR="00EF61AB">
        <w:t xml:space="preserve">рішення </w:t>
      </w:r>
      <w:r w:rsidR="00EF61AB" w:rsidRPr="009D3F69">
        <w:t>десятої сесі</w:t>
      </w:r>
      <w:r w:rsidR="004D1B8D">
        <w:t>ї міської ради від 15.12.2021 № </w:t>
      </w:r>
      <w:r w:rsidR="00EF61AB" w:rsidRPr="009D3F69">
        <w:t>52</w:t>
      </w:r>
      <w:r w:rsidR="00EF61AB">
        <w:t xml:space="preserve"> «Про затвердження </w:t>
      </w:r>
      <w:r w:rsidR="00EF61AB" w:rsidRPr="009A51CD">
        <w:t xml:space="preserve">Програми </w:t>
      </w:r>
      <w:r w:rsidR="00EF61AB"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 w:rsidR="009D3F69">
        <w:t xml:space="preserve"> </w:t>
      </w:r>
    </w:p>
    <w:p w:rsidR="004D1B8D" w:rsidRPr="009A51CD" w:rsidRDefault="004D1B8D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 xml:space="preserve">Розглянувши клопотання </w:t>
      </w:r>
      <w:r w:rsidR="00195B15">
        <w:rPr>
          <w:lang w:eastAsia="ru-RU"/>
        </w:rPr>
        <w:t>управління комунальної інфраструктури</w:t>
      </w:r>
      <w:r w:rsidRPr="009A51CD">
        <w:rPr>
          <w:lang w:eastAsia="ru-RU"/>
        </w:rPr>
        <w:t xml:space="preserve"> Хмельницької міської ради</w:t>
      </w:r>
      <w:r w:rsidRPr="009A51CD">
        <w:t>, керуючись Закон</w:t>
      </w:r>
      <w:r w:rsidR="00692E33">
        <w:t>ами</w:t>
      </w:r>
      <w:r w:rsidRPr="009A51CD">
        <w:t xml:space="preserve"> </w:t>
      </w:r>
      <w:r>
        <w:t xml:space="preserve">України </w:t>
      </w:r>
      <w:r w:rsidRPr="009A51CD">
        <w:t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</w:t>
      </w:r>
      <w:r w:rsidR="0024688E">
        <w:t>могу суб’єктам господарювання»</w:t>
      </w:r>
      <w:r w:rsidRPr="009A51CD">
        <w:t>,</w:t>
      </w:r>
      <w:r w:rsidRPr="009A51CD">
        <w:rPr>
          <w:color w:val="000000"/>
        </w:rPr>
        <w:t xml:space="preserve"> «Про особливості здійснення права власності у багатоквартирному будинку»,</w:t>
      </w:r>
      <w:r w:rsidR="0024688E">
        <w:t xml:space="preserve"> 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</w:t>
      </w:r>
      <w:r w:rsidR="009D3F69">
        <w:t xml:space="preserve"> </w:t>
      </w:r>
      <w:r w:rsidRPr="009A51CD">
        <w:t>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"/>
        <w:tabs>
          <w:tab w:val="clear" w:pos="3960"/>
          <w:tab w:val="left" w:pos="570"/>
        </w:tabs>
        <w:ind w:right="1"/>
      </w:pPr>
    </w:p>
    <w:p w:rsidR="00360733" w:rsidRDefault="00A8558A" w:rsidP="00360733">
      <w:pPr>
        <w:autoSpaceDN w:val="0"/>
        <w:ind w:firstLine="567"/>
        <w:jc w:val="both"/>
        <w:textAlignment w:val="baseline"/>
      </w:pPr>
      <w:r w:rsidRPr="009A51CD">
        <w:t>Внести на розгляд сесії міської ради пропозиці</w:t>
      </w:r>
      <w:r w:rsidR="00797617">
        <w:t>ї</w:t>
      </w:r>
      <w:r w:rsidRPr="009A51CD">
        <w:t xml:space="preserve"> про </w:t>
      </w:r>
      <w:r w:rsidR="009D3F69">
        <w:t>внесення</w:t>
      </w:r>
      <w:r w:rsidR="00EF61AB" w:rsidRPr="00EF61AB">
        <w:t xml:space="preserve"> </w:t>
      </w:r>
      <w:r w:rsidR="00EF61AB">
        <w:t xml:space="preserve">змін до </w:t>
      </w:r>
      <w:r w:rsidR="00EF61AB" w:rsidRPr="00EF61AB">
        <w:t>Програми підтримки і розвитку житлово-комунальної інфраструктури Хмельницької міської територіальної громади на 2022-2027 роки</w:t>
      </w:r>
      <w:r w:rsidR="004A24B7">
        <w:t xml:space="preserve"> (далі – Програма)</w:t>
      </w:r>
      <w:r w:rsidR="00EF61AB" w:rsidRPr="00EF61AB">
        <w:t>, затвердженої рішенням десятої сесії міської ради від 15.12.2021 № 52</w:t>
      </w:r>
      <w:r w:rsidR="009D3F69" w:rsidRPr="004A24B7">
        <w:rPr>
          <w:color w:val="000000"/>
        </w:rPr>
        <w:t>, а саме:</w:t>
      </w:r>
      <w:r w:rsidR="00360733" w:rsidRPr="00360733">
        <w:t xml:space="preserve"> </w:t>
      </w:r>
    </w:p>
    <w:p w:rsidR="00360733" w:rsidRDefault="00360733" w:rsidP="00360733">
      <w:pPr>
        <w:autoSpaceDN w:val="0"/>
        <w:ind w:firstLine="567"/>
        <w:jc w:val="both"/>
        <w:textAlignment w:val="baseline"/>
      </w:pPr>
      <w:r>
        <w:t>1.1.</w:t>
      </w:r>
      <w:r>
        <w:rPr>
          <w:kern w:val="3"/>
          <w:lang w:eastAsia="zh-CN"/>
        </w:rPr>
        <w:t> </w:t>
      </w:r>
      <w:r w:rsidRPr="0063199C">
        <w:t>Таблицю</w:t>
      </w:r>
      <w:r>
        <w:t xml:space="preserve"> після абзацу 19 </w:t>
      </w:r>
      <w:r>
        <w:rPr>
          <w:kern w:val="3"/>
          <w:lang w:eastAsia="zh-CN"/>
        </w:rPr>
        <w:t>підпункту</w:t>
      </w:r>
      <w:r w:rsidRPr="009D3F69">
        <w:rPr>
          <w:kern w:val="3"/>
          <w:lang w:eastAsia="zh-CN"/>
        </w:rPr>
        <w:t xml:space="preserve"> 5.1.</w:t>
      </w:r>
      <w:r>
        <w:rPr>
          <w:kern w:val="3"/>
          <w:lang w:eastAsia="zh-CN"/>
        </w:rPr>
        <w:t>1</w:t>
      </w:r>
      <w:r w:rsidRPr="009D3F69">
        <w:rPr>
          <w:b/>
        </w:rPr>
        <w:t xml:space="preserve"> </w:t>
      </w:r>
      <w:r>
        <w:rPr>
          <w:kern w:val="3"/>
          <w:lang w:eastAsia="zh-CN"/>
        </w:rPr>
        <w:t>пункту 5.1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rPr>
          <w:kern w:val="3"/>
          <w:lang w:eastAsia="zh-CN"/>
        </w:rPr>
        <w:t xml:space="preserve"> Програми </w:t>
      </w:r>
      <w:r w:rsidRPr="009D3F69">
        <w:rPr>
          <w:kern w:val="3"/>
          <w:lang w:eastAsia="zh-CN"/>
        </w:rPr>
        <w:t>викла</w:t>
      </w:r>
      <w:r>
        <w:rPr>
          <w:kern w:val="3"/>
          <w:lang w:eastAsia="zh-CN"/>
        </w:rPr>
        <w:t>сти</w:t>
      </w:r>
      <w:r w:rsidRPr="009D3F69">
        <w:rPr>
          <w:kern w:val="3"/>
          <w:lang w:eastAsia="zh-CN"/>
        </w:rPr>
        <w:t xml:space="preserve"> в н</w:t>
      </w:r>
      <w:r>
        <w:rPr>
          <w:kern w:val="3"/>
          <w:lang w:eastAsia="zh-CN"/>
        </w:rPr>
        <w:t>овій</w:t>
      </w:r>
      <w:r w:rsidRPr="009D3F69">
        <w:rPr>
          <w:kern w:val="3"/>
          <w:lang w:eastAsia="zh-CN"/>
        </w:rPr>
        <w:t xml:space="preserve"> редакції:</w:t>
      </w:r>
    </w:p>
    <w:p w:rsidR="00360733" w:rsidRPr="002A4353" w:rsidRDefault="00360733" w:rsidP="00360733">
      <w:pPr>
        <w:ind w:firstLine="567"/>
        <w:jc w:val="both"/>
        <w:rPr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13"/>
        <w:gridCol w:w="975"/>
        <w:gridCol w:w="1010"/>
        <w:gridCol w:w="992"/>
        <w:gridCol w:w="992"/>
        <w:gridCol w:w="992"/>
        <w:gridCol w:w="965"/>
      </w:tblGrid>
      <w:tr w:rsidR="00360733" w:rsidRPr="00B1758A" w:rsidTr="003A7A64">
        <w:trPr>
          <w:trHeight w:val="429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33" w:rsidRPr="00715935" w:rsidRDefault="00360733" w:rsidP="003A7A64">
            <w:r w:rsidRPr="00715935">
              <w:t>Назва призначень (об’єктів, робіт, послуг, придбання основних засобів)</w:t>
            </w:r>
          </w:p>
          <w:p w:rsidR="00360733" w:rsidRPr="00715935" w:rsidRDefault="00360733" w:rsidP="003A7A64"/>
        </w:tc>
        <w:tc>
          <w:tcPr>
            <w:tcW w:w="6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33" w:rsidRPr="00715935" w:rsidRDefault="00360733" w:rsidP="003A7A64">
            <w:r w:rsidRPr="00715935">
              <w:t>Обсяг фінансування по роках, тис. грн</w:t>
            </w:r>
          </w:p>
        </w:tc>
      </w:tr>
      <w:tr w:rsidR="00360733" w:rsidRPr="00B1758A" w:rsidTr="005A24D9">
        <w:trPr>
          <w:trHeight w:val="570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715935"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2027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B1758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B1758A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360733" w:rsidRPr="00B1758A" w:rsidTr="003A7A64">
        <w:trPr>
          <w:trHeight w:val="429"/>
        </w:trPr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360733" w:rsidRPr="00715935" w:rsidRDefault="00360733" w:rsidP="003A7A64">
            <w:r w:rsidRPr="00715935">
              <w:t>Заходи з поточного ремонту та утримання вулично-дорожньої мережі (КП по будівництву, ремонту та експлуатації доріг)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715935" w:rsidRDefault="00360733" w:rsidP="003A7A64">
            <w:r w:rsidRPr="00715935">
              <w:t>174 329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B1758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127 957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B1758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140 822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B1758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154 905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B1758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170 395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B1758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187 437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B1758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B1758A">
              <w:rPr>
                <w:iCs/>
                <w:sz w:val="22"/>
                <w:szCs w:val="22"/>
              </w:rPr>
              <w:t>948 483</w:t>
            </w:r>
          </w:p>
        </w:tc>
      </w:tr>
    </w:tbl>
    <w:p w:rsidR="00360733" w:rsidRDefault="00360733" w:rsidP="00360733">
      <w:pPr>
        <w:autoSpaceDN w:val="0"/>
        <w:jc w:val="both"/>
        <w:textAlignment w:val="baseline"/>
        <w:rPr>
          <w:kern w:val="3"/>
          <w:lang w:eastAsia="zh-CN"/>
        </w:rPr>
      </w:pPr>
    </w:p>
    <w:p w:rsidR="00360733" w:rsidRPr="0063199C" w:rsidRDefault="00360733" w:rsidP="00360733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1.2. </w:t>
      </w:r>
      <w:r w:rsidRPr="009D3F69">
        <w:rPr>
          <w:kern w:val="3"/>
          <w:lang w:eastAsia="zh-CN"/>
        </w:rPr>
        <w:t xml:space="preserve">Абзац </w:t>
      </w:r>
      <w:r>
        <w:rPr>
          <w:kern w:val="3"/>
          <w:lang w:eastAsia="zh-CN"/>
        </w:rPr>
        <w:t>22</w:t>
      </w:r>
      <w:r w:rsidRPr="009D3F69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підпункту</w:t>
      </w:r>
      <w:r w:rsidRPr="009D3F69">
        <w:rPr>
          <w:kern w:val="3"/>
          <w:lang w:eastAsia="zh-CN"/>
        </w:rPr>
        <w:t xml:space="preserve"> 5.1.5</w:t>
      </w:r>
      <w:r w:rsidRPr="009D3F69">
        <w:rPr>
          <w:b/>
        </w:rPr>
        <w:t xml:space="preserve"> </w:t>
      </w:r>
      <w:r>
        <w:rPr>
          <w:kern w:val="3"/>
          <w:lang w:eastAsia="zh-CN"/>
        </w:rPr>
        <w:t>пункту 5.1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rPr>
          <w:kern w:val="3"/>
          <w:lang w:eastAsia="zh-CN"/>
        </w:rPr>
        <w:t xml:space="preserve"> Програми </w:t>
      </w:r>
      <w:r w:rsidRPr="009D3F69">
        <w:rPr>
          <w:kern w:val="3"/>
          <w:lang w:eastAsia="zh-CN"/>
        </w:rPr>
        <w:t>викла</w:t>
      </w:r>
      <w:r>
        <w:rPr>
          <w:kern w:val="3"/>
          <w:lang w:eastAsia="zh-CN"/>
        </w:rPr>
        <w:t>сти</w:t>
      </w:r>
      <w:r w:rsidRPr="009D3F69">
        <w:rPr>
          <w:kern w:val="3"/>
          <w:lang w:eastAsia="zh-CN"/>
        </w:rPr>
        <w:t xml:space="preserve"> в н</w:t>
      </w:r>
      <w:r>
        <w:rPr>
          <w:kern w:val="3"/>
          <w:lang w:eastAsia="zh-CN"/>
        </w:rPr>
        <w:t>овій</w:t>
      </w:r>
      <w:r w:rsidRPr="009D3F69">
        <w:rPr>
          <w:kern w:val="3"/>
          <w:lang w:eastAsia="zh-CN"/>
        </w:rPr>
        <w:t xml:space="preserve"> редакції: «Для забезпечення повного збирання, перевезення, </w:t>
      </w:r>
      <w:r w:rsidRPr="0063199C">
        <w:rPr>
          <w:kern w:val="3"/>
          <w:lang w:eastAsia="zh-CN"/>
        </w:rPr>
        <w:t>утилізації, знешкодження та захоронення твердих побутових відходів, зменшення їх впливу на довкілля, покращення санітарного стану громади та поліпшення епідеміологічного благополуччя населення за кошти бюджету міської територіальної громади,</w:t>
      </w:r>
      <w:r w:rsidRPr="0063199C">
        <w:t xml:space="preserve"> </w:t>
      </w:r>
      <w:r w:rsidRPr="0039549D">
        <w:t>кошти ХКП «Спецкомунтранс»</w:t>
      </w:r>
      <w:r w:rsidRPr="0039549D">
        <w:rPr>
          <w:rFonts w:eastAsia="Calibri"/>
        </w:rPr>
        <w:t xml:space="preserve"> та кредитні кошти Європейського банку реконструкції та розвитку (ЄБРР) на </w:t>
      </w:r>
      <w:r w:rsidRPr="0063199C">
        <w:rPr>
          <w:rFonts w:eastAsia="Calibri"/>
        </w:rPr>
        <w:t>2022-2027 роки планується виконати наступний план заходів.».</w:t>
      </w:r>
      <w:r w:rsidRPr="0063199C">
        <w:rPr>
          <w:kern w:val="3"/>
          <w:lang w:eastAsia="zh-CN"/>
        </w:rPr>
        <w:t xml:space="preserve"> </w:t>
      </w:r>
    </w:p>
    <w:p w:rsidR="00360733" w:rsidRPr="0063199C" w:rsidRDefault="00360733" w:rsidP="00360733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t>1.3. </w:t>
      </w:r>
      <w:r w:rsidRPr="0063199C">
        <w:t xml:space="preserve"> Таблицю</w:t>
      </w:r>
      <w:r>
        <w:t xml:space="preserve"> після абзацу 4</w:t>
      </w:r>
      <w:r w:rsidRPr="0063199C">
        <w:t xml:space="preserve"> </w:t>
      </w:r>
      <w:r>
        <w:t>під</w:t>
      </w:r>
      <w:r w:rsidRPr="0063199C">
        <w:t>пункту</w:t>
      </w:r>
      <w:r w:rsidRPr="0063199C">
        <w:rPr>
          <w:kern w:val="3"/>
          <w:lang w:eastAsia="zh-CN"/>
        </w:rPr>
        <w:t xml:space="preserve"> 5.1.6</w:t>
      </w:r>
      <w:r>
        <w:t xml:space="preserve"> </w:t>
      </w:r>
      <w:r>
        <w:rPr>
          <w:kern w:val="3"/>
          <w:lang w:eastAsia="zh-CN"/>
        </w:rPr>
        <w:t>пункту 5.1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t xml:space="preserve"> Програми </w:t>
      </w:r>
      <w:r w:rsidRPr="0063199C">
        <w:rPr>
          <w:kern w:val="3"/>
          <w:lang w:eastAsia="zh-CN"/>
        </w:rPr>
        <w:t xml:space="preserve">викласти в </w:t>
      </w:r>
      <w:r>
        <w:rPr>
          <w:kern w:val="3"/>
          <w:lang w:eastAsia="zh-CN"/>
        </w:rPr>
        <w:t>нов</w:t>
      </w:r>
      <w:r w:rsidRPr="0063199C">
        <w:rPr>
          <w:kern w:val="3"/>
          <w:lang w:eastAsia="zh-CN"/>
        </w:rPr>
        <w:t>ій редакції:</w:t>
      </w:r>
    </w:p>
    <w:p w:rsidR="00360733" w:rsidRPr="0063199C" w:rsidRDefault="00360733" w:rsidP="00360733"/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816"/>
        <w:gridCol w:w="816"/>
        <w:gridCol w:w="938"/>
        <w:gridCol w:w="996"/>
        <w:gridCol w:w="938"/>
        <w:gridCol w:w="951"/>
        <w:gridCol w:w="939"/>
      </w:tblGrid>
      <w:tr w:rsidR="00360733" w:rsidRPr="00D8743A" w:rsidTr="003A7A64">
        <w:trPr>
          <w:trHeight w:val="278"/>
          <w:jc w:val="center"/>
        </w:trPr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lang w:eastAsia="uk-UA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5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8743A">
              <w:rPr>
                <w:rFonts w:eastAsia="Calibri"/>
              </w:rPr>
              <w:t xml:space="preserve">Обсяг фінансування по роках, </w:t>
            </w:r>
            <w:r w:rsidRPr="00D8743A">
              <w:rPr>
                <w:rFonts w:eastAsia="Calibri"/>
                <w:bCs/>
                <w:lang w:eastAsia="uk-UA"/>
              </w:rPr>
              <w:t>тис. грн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360733" w:rsidRPr="00D8743A" w:rsidTr="003A7A64">
        <w:trPr>
          <w:trHeight w:val="192"/>
          <w:jc w:val="center"/>
        </w:trPr>
        <w:tc>
          <w:tcPr>
            <w:tcW w:w="3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8743A">
              <w:rPr>
                <w:rFonts w:eastAsia="Calibri"/>
                <w:bCs/>
                <w:lang w:eastAsia="uk-UA"/>
              </w:rPr>
              <w:t>2027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</w:p>
        </w:tc>
      </w:tr>
      <w:tr w:rsidR="00360733" w:rsidRPr="00D8743A" w:rsidTr="003A7A64">
        <w:trPr>
          <w:trHeight w:val="1529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000000"/>
            </w:tcBorders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743A">
              <w:rPr>
                <w:rFonts w:eastAsia="Calibri"/>
              </w:rPr>
              <w:t>Утримання та благоустрій кладовищ, ремонт та утримання  пам’ятників, поховання невідомих громадян, в т. ч.: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D8743A">
              <w:rPr>
                <w:sz w:val="22"/>
                <w:szCs w:val="22"/>
              </w:rPr>
              <w:t>11450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13500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15750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17850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19950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22000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sz w:val="22"/>
                <w:szCs w:val="22"/>
              </w:rPr>
            </w:pPr>
            <w:r w:rsidRPr="00D8743A">
              <w:rPr>
                <w:sz w:val="22"/>
                <w:szCs w:val="22"/>
              </w:rPr>
              <w:t>100500</w:t>
            </w:r>
          </w:p>
        </w:tc>
      </w:tr>
      <w:tr w:rsidR="00360733" w:rsidRPr="00D8743A" w:rsidTr="003A7A64">
        <w:trPr>
          <w:trHeight w:val="768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auto"/>
            </w:tcBorders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743A">
              <w:rPr>
                <w:rFonts w:eastAsia="Calibri"/>
              </w:rPr>
              <w:t>СКП «Хмельницька міська ритуальна служба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13000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15000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17 000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19000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D8743A">
              <w:rPr>
                <w:rFonts w:eastAsia="Calibri"/>
                <w:bCs/>
                <w:sz w:val="22"/>
                <w:szCs w:val="22"/>
                <w:lang w:eastAsia="uk-UA"/>
              </w:rPr>
              <w:t>21000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ind w:right="-28" w:hanging="14"/>
              <w:jc w:val="center"/>
              <w:rPr>
                <w:rFonts w:eastAsia="Calibri"/>
                <w:sz w:val="22"/>
                <w:szCs w:val="22"/>
              </w:rPr>
            </w:pPr>
            <w:r w:rsidRPr="00D8743A">
              <w:rPr>
                <w:rFonts w:eastAsia="Calibri"/>
                <w:sz w:val="22"/>
                <w:szCs w:val="22"/>
              </w:rPr>
              <w:t>96000</w:t>
            </w:r>
          </w:p>
        </w:tc>
      </w:tr>
      <w:tr w:rsidR="00360733" w:rsidRPr="00D8743A" w:rsidTr="003A7A64">
        <w:trPr>
          <w:trHeight w:val="206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auto"/>
            </w:tcBorders>
          </w:tcPr>
          <w:p w:rsidR="00360733" w:rsidRPr="00D8743A" w:rsidRDefault="00360733" w:rsidP="003A7A6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743A">
              <w:rPr>
                <w:rFonts w:eastAsia="Calibri"/>
              </w:rPr>
              <w:t>КП «Елеватор»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D8743A">
              <w:rPr>
                <w:iCs/>
                <w:sz w:val="22"/>
                <w:szCs w:val="22"/>
              </w:rPr>
              <w:t>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750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950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D8743A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D8743A" w:rsidRDefault="00360733" w:rsidP="003A7A6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8743A">
              <w:rPr>
                <w:bCs/>
                <w:iCs/>
                <w:sz w:val="22"/>
                <w:szCs w:val="22"/>
              </w:rPr>
              <w:t>4500</w:t>
            </w:r>
          </w:p>
        </w:tc>
      </w:tr>
    </w:tbl>
    <w:p w:rsidR="00360733" w:rsidRDefault="00360733" w:rsidP="00360733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</w:p>
    <w:p w:rsidR="00360733" w:rsidRPr="00DF4600" w:rsidRDefault="00360733" w:rsidP="00360733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1.4.</w:t>
      </w:r>
      <w:r w:rsidRPr="00DF4600">
        <w:rPr>
          <w:kern w:val="3"/>
          <w:lang w:eastAsia="zh-CN"/>
        </w:rPr>
        <w:t xml:space="preserve"> Таблицю </w:t>
      </w:r>
      <w:r>
        <w:t xml:space="preserve">після абзацу 21 </w:t>
      </w:r>
      <w:r>
        <w:rPr>
          <w:kern w:val="3"/>
          <w:lang w:eastAsia="zh-CN"/>
        </w:rPr>
        <w:t>під</w:t>
      </w:r>
      <w:r w:rsidRPr="00DF4600">
        <w:rPr>
          <w:kern w:val="3"/>
          <w:lang w:eastAsia="zh-CN"/>
        </w:rPr>
        <w:t>пункту</w:t>
      </w:r>
      <w:r>
        <w:rPr>
          <w:kern w:val="3"/>
          <w:lang w:eastAsia="zh-CN"/>
        </w:rPr>
        <w:t xml:space="preserve"> 5.2.1</w:t>
      </w:r>
      <w:r w:rsidRPr="00DF4600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пункту 5.2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t xml:space="preserve"> </w:t>
      </w:r>
      <w:r w:rsidRPr="00DF4600">
        <w:t xml:space="preserve">Програми </w:t>
      </w:r>
      <w:r w:rsidRPr="00DF4600">
        <w:rPr>
          <w:kern w:val="3"/>
          <w:lang w:eastAsia="zh-CN"/>
        </w:rPr>
        <w:t>викласти в н</w:t>
      </w:r>
      <w:r>
        <w:rPr>
          <w:kern w:val="3"/>
          <w:lang w:eastAsia="zh-CN"/>
        </w:rPr>
        <w:t>овій</w:t>
      </w:r>
      <w:r w:rsidRPr="00DF4600">
        <w:rPr>
          <w:kern w:val="3"/>
          <w:lang w:eastAsia="zh-CN"/>
        </w:rPr>
        <w:t xml:space="preserve"> редакції:</w:t>
      </w:r>
    </w:p>
    <w:p w:rsidR="00360733" w:rsidRPr="0018081D" w:rsidRDefault="00360733" w:rsidP="00360733">
      <w:pPr>
        <w:pStyle w:val="a3"/>
        <w:autoSpaceDN w:val="0"/>
        <w:ind w:left="927"/>
        <w:jc w:val="both"/>
        <w:textAlignment w:val="baseline"/>
        <w:rPr>
          <w:kern w:val="3"/>
          <w:lang w:eastAsia="zh-CN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3180"/>
        <w:gridCol w:w="903"/>
        <w:gridCol w:w="956"/>
        <w:gridCol w:w="812"/>
        <w:gridCol w:w="909"/>
        <w:gridCol w:w="703"/>
        <w:gridCol w:w="707"/>
        <w:gridCol w:w="823"/>
      </w:tblGrid>
      <w:tr w:rsidR="00360733" w:rsidRPr="00D01A01" w:rsidTr="003A7A64">
        <w:trPr>
          <w:trHeight w:val="32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№ з/п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Назва призначень  (об'єктів, робіт, основних засобів)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rFonts w:eastAsia="Calibri"/>
              </w:rPr>
              <w:t xml:space="preserve">Обсяг фінансування по роках, </w:t>
            </w:r>
            <w:r w:rsidRPr="00D01A01">
              <w:rPr>
                <w:rFonts w:eastAsia="Calibri"/>
                <w:bCs/>
                <w:lang w:eastAsia="uk-UA"/>
              </w:rPr>
              <w:t>тис. грн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Разом</w:t>
            </w:r>
          </w:p>
        </w:tc>
      </w:tr>
      <w:tr w:rsidR="00360733" w:rsidRPr="00D01A01" w:rsidTr="003A7A64">
        <w:trPr>
          <w:trHeight w:val="32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33" w:rsidRPr="00D01A01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33" w:rsidRPr="00D01A01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2027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33" w:rsidRPr="00D01A01" w:rsidRDefault="00360733" w:rsidP="003A7A64">
            <w:pPr>
              <w:suppressAutoHyphens w:val="0"/>
              <w:rPr>
                <w:bCs/>
                <w:lang w:eastAsia="uk-UA"/>
              </w:rPr>
            </w:pPr>
          </w:p>
        </w:tc>
      </w:tr>
      <w:tr w:rsidR="00360733" w:rsidRPr="00D01A01" w:rsidTr="003A7A64">
        <w:trPr>
          <w:trHeight w:val="19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D01A01">
              <w:rPr>
                <w:lang w:eastAsia="uk-UA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33" w:rsidRPr="00D01A01" w:rsidRDefault="00360733" w:rsidP="003A7A64">
            <w:pPr>
              <w:suppressAutoHyphens w:val="0"/>
              <w:rPr>
                <w:lang w:eastAsia="uk-UA"/>
              </w:rPr>
            </w:pPr>
            <w:r w:rsidRPr="00D01A01">
              <w:rPr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</w:rPr>
              <w:t>2 000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1 500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2 000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1 500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7 000</w:t>
            </w:r>
          </w:p>
        </w:tc>
      </w:tr>
      <w:tr w:rsidR="00360733" w:rsidRPr="00D01A01" w:rsidTr="003A7A64">
        <w:trPr>
          <w:trHeight w:val="19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D01A01">
              <w:rPr>
                <w:lang w:eastAsia="uk-UA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33" w:rsidRPr="00D01A01" w:rsidRDefault="00360733" w:rsidP="003A7A64">
            <w:pPr>
              <w:suppressAutoHyphens w:val="0"/>
              <w:rPr>
                <w:lang w:eastAsia="uk-UA"/>
              </w:rPr>
            </w:pPr>
            <w:r w:rsidRPr="00D01A01">
              <w:rPr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12 500</w:t>
            </w:r>
          </w:p>
        </w:tc>
      </w:tr>
      <w:tr w:rsidR="00360733" w:rsidRPr="00D01A01" w:rsidTr="003A7A64">
        <w:trPr>
          <w:trHeight w:val="30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33" w:rsidRPr="00D01A01" w:rsidRDefault="00360733" w:rsidP="003A7A64">
            <w:pPr>
              <w:suppressAutoHyphens w:val="0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33" w:rsidRPr="00D01A01" w:rsidRDefault="00360733" w:rsidP="003A7A64">
            <w:pPr>
              <w:suppressAutoHyphens w:val="0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разом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33" w:rsidRPr="00AD169F" w:rsidRDefault="00360733" w:rsidP="003A7A64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19 500</w:t>
            </w:r>
          </w:p>
        </w:tc>
      </w:tr>
    </w:tbl>
    <w:p w:rsidR="00360733" w:rsidRDefault="00360733" w:rsidP="00360733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</w:p>
    <w:p w:rsidR="00360733" w:rsidRDefault="00360733" w:rsidP="00360733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>1.5.</w:t>
      </w:r>
      <w:r w:rsidRPr="00DF4600">
        <w:rPr>
          <w:kern w:val="3"/>
          <w:lang w:eastAsia="zh-CN"/>
        </w:rPr>
        <w:t xml:space="preserve"> Таблицю </w:t>
      </w:r>
      <w:r>
        <w:t xml:space="preserve">після абзацу 1 пункту </w:t>
      </w:r>
      <w:r>
        <w:rPr>
          <w:kern w:val="3"/>
          <w:lang w:eastAsia="zh-CN"/>
        </w:rPr>
        <w:t>5.3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t xml:space="preserve"> </w:t>
      </w:r>
      <w:r w:rsidRPr="00DF4600">
        <w:t xml:space="preserve">Програми </w:t>
      </w:r>
      <w:r w:rsidRPr="00DF4600">
        <w:rPr>
          <w:kern w:val="3"/>
          <w:lang w:eastAsia="zh-CN"/>
        </w:rPr>
        <w:t>викласти в н</w:t>
      </w:r>
      <w:r>
        <w:rPr>
          <w:kern w:val="3"/>
          <w:lang w:eastAsia="zh-CN"/>
        </w:rPr>
        <w:t>овій</w:t>
      </w:r>
      <w:r w:rsidRPr="00DF4600">
        <w:rPr>
          <w:kern w:val="3"/>
          <w:lang w:eastAsia="zh-CN"/>
        </w:rPr>
        <w:t xml:space="preserve"> редакції:</w:t>
      </w:r>
    </w:p>
    <w:p w:rsidR="00360733" w:rsidRPr="00DF4600" w:rsidRDefault="00360733" w:rsidP="00360733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</w:p>
    <w:tbl>
      <w:tblPr>
        <w:tblpPr w:leftFromText="180" w:rightFromText="180" w:vertAnchor="text" w:horzAnchor="margin" w:tblpX="-39" w:tblpY="1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850"/>
        <w:gridCol w:w="826"/>
        <w:gridCol w:w="826"/>
        <w:gridCol w:w="827"/>
        <w:gridCol w:w="1065"/>
      </w:tblGrid>
      <w:tr w:rsidR="00360733" w:rsidRPr="00193B87" w:rsidTr="003A7A64">
        <w:trPr>
          <w:trHeight w:val="32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rFonts w:eastAsia="Calibri"/>
                <w:sz w:val="22"/>
                <w:szCs w:val="22"/>
              </w:rPr>
              <w:t xml:space="preserve">Обсяг фінансування по роках </w:t>
            </w:r>
            <w:r w:rsidRPr="00193B87">
              <w:rPr>
                <w:rFonts w:eastAsia="Calibri"/>
                <w:bCs/>
                <w:sz w:val="22"/>
                <w:szCs w:val="22"/>
                <w:lang w:eastAsia="uk-UA"/>
              </w:rPr>
              <w:t>тис. грн</w:t>
            </w:r>
          </w:p>
        </w:tc>
      </w:tr>
      <w:tr w:rsidR="00360733" w:rsidRPr="00193B87" w:rsidTr="003A7A64">
        <w:trPr>
          <w:trHeight w:val="22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2027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rFonts w:eastAsia="Calibri"/>
                <w:bCs/>
                <w:sz w:val="22"/>
                <w:szCs w:val="22"/>
                <w:lang w:eastAsia="uk-UA"/>
              </w:rPr>
              <w:t>Разом</w:t>
            </w:r>
          </w:p>
        </w:tc>
      </w:tr>
      <w:tr w:rsidR="00360733" w:rsidRPr="00193B87" w:rsidTr="003A7A64">
        <w:trPr>
          <w:trHeight w:val="9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3" w:rsidRPr="00193B87" w:rsidRDefault="00360733" w:rsidP="003A7A64">
            <w:pPr>
              <w:jc w:val="both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 xml:space="preserve">Забезпечення діяльності з виробництва, транспортування, постачання теплової енергії, </w:t>
            </w:r>
          </w:p>
          <w:p w:rsidR="00360733" w:rsidRPr="00193B87" w:rsidRDefault="00360733" w:rsidP="003A7A64">
            <w:pPr>
              <w:jc w:val="both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в т. 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193B87">
              <w:rPr>
                <w:sz w:val="22"/>
                <w:szCs w:val="22"/>
              </w:rPr>
              <w:t>171 600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50 000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sz w:val="22"/>
                <w:szCs w:val="22"/>
              </w:rPr>
            </w:pPr>
            <w:r w:rsidRPr="00193B87">
              <w:rPr>
                <w:sz w:val="22"/>
                <w:szCs w:val="22"/>
              </w:rPr>
              <w:t>421 600</w:t>
            </w:r>
          </w:p>
        </w:tc>
      </w:tr>
      <w:tr w:rsidR="00360733" w:rsidRPr="00193B87" w:rsidTr="003A7A64">
        <w:trPr>
          <w:trHeight w:val="4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33" w:rsidRPr="00193B87" w:rsidRDefault="00360733" w:rsidP="003A7A64">
            <w:pPr>
              <w:rPr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  <w:lang w:eastAsia="uk-UA"/>
              </w:rPr>
              <w:t>- КП «Південно-Західні тепломережі»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67 600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67 600</w:t>
            </w:r>
          </w:p>
        </w:tc>
      </w:tr>
      <w:tr w:rsidR="00360733" w:rsidRPr="00193B87" w:rsidTr="003A7A64">
        <w:trPr>
          <w:trHeight w:val="4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suppressAutoHyphens w:val="0"/>
              <w:rPr>
                <w:iCs/>
                <w:sz w:val="22"/>
                <w:szCs w:val="22"/>
                <w:lang w:eastAsia="uk-UA"/>
              </w:rPr>
            </w:pPr>
            <w:r w:rsidRPr="00193B87">
              <w:rPr>
                <w:iCs/>
                <w:sz w:val="22"/>
                <w:szCs w:val="22"/>
                <w:lang w:eastAsia="uk-UA"/>
              </w:rPr>
              <w:t>- МКП «Хмельницьктеплокомуненерго»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104 000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33" w:rsidRPr="00193B87" w:rsidRDefault="00360733" w:rsidP="003A7A64">
            <w:pPr>
              <w:jc w:val="center"/>
              <w:rPr>
                <w:iCs/>
                <w:sz w:val="22"/>
                <w:szCs w:val="22"/>
              </w:rPr>
            </w:pPr>
            <w:r w:rsidRPr="00193B87">
              <w:rPr>
                <w:iCs/>
                <w:sz w:val="22"/>
                <w:szCs w:val="22"/>
              </w:rPr>
              <w:t>354 000</w:t>
            </w:r>
          </w:p>
        </w:tc>
      </w:tr>
    </w:tbl>
    <w:p w:rsidR="00360733" w:rsidRPr="0018081D" w:rsidRDefault="00360733" w:rsidP="00360733">
      <w:pPr>
        <w:pStyle w:val="a3"/>
        <w:autoSpaceDN w:val="0"/>
        <w:ind w:left="927"/>
        <w:jc w:val="both"/>
        <w:textAlignment w:val="baseline"/>
        <w:rPr>
          <w:kern w:val="3"/>
          <w:lang w:eastAsia="zh-CN"/>
        </w:rPr>
      </w:pPr>
    </w:p>
    <w:p w:rsidR="00360733" w:rsidRDefault="00360733" w:rsidP="00360733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  <w:r>
        <w:rPr>
          <w:kern w:val="3"/>
          <w:lang w:eastAsia="zh-CN"/>
        </w:rPr>
        <w:t>1.6. </w:t>
      </w:r>
      <w:r w:rsidRPr="0084724C">
        <w:rPr>
          <w:kern w:val="3"/>
          <w:lang w:eastAsia="zh-CN"/>
        </w:rPr>
        <w:t>Таблицю</w:t>
      </w:r>
      <w:r w:rsidRPr="00986567">
        <w:t xml:space="preserve"> </w:t>
      </w:r>
      <w:r>
        <w:t>після абзацу 7</w:t>
      </w:r>
      <w:r w:rsidRPr="0084724C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пункту</w:t>
      </w:r>
      <w:r>
        <w:rPr>
          <w:lang w:eastAsia="ru-RU"/>
        </w:rPr>
        <w:t xml:space="preserve"> 5.4</w:t>
      </w:r>
      <w:r w:rsidRPr="0084724C">
        <w:rPr>
          <w:lang w:eastAsia="ru-RU"/>
        </w:rPr>
        <w:t xml:space="preserve"> </w:t>
      </w:r>
      <w:r>
        <w:rPr>
          <w:kern w:val="3"/>
          <w:lang w:eastAsia="zh-CN"/>
        </w:rPr>
        <w:t>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Pr="0084724C">
        <w:rPr>
          <w:kern w:val="3"/>
          <w:lang w:eastAsia="zh-CN"/>
        </w:rPr>
        <w:t xml:space="preserve"> Програми викласти в н</w:t>
      </w:r>
      <w:r>
        <w:rPr>
          <w:kern w:val="3"/>
          <w:lang w:eastAsia="zh-CN"/>
        </w:rPr>
        <w:t>овій</w:t>
      </w:r>
      <w:r w:rsidRPr="0084724C">
        <w:rPr>
          <w:kern w:val="3"/>
          <w:lang w:eastAsia="zh-CN"/>
        </w:rPr>
        <w:t xml:space="preserve"> редакції:</w:t>
      </w:r>
    </w:p>
    <w:p w:rsidR="00360733" w:rsidRPr="0084724C" w:rsidRDefault="00360733" w:rsidP="00360733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089"/>
        <w:gridCol w:w="1053"/>
        <w:gridCol w:w="1053"/>
        <w:gridCol w:w="1053"/>
        <w:gridCol w:w="921"/>
        <w:gridCol w:w="921"/>
        <w:gridCol w:w="948"/>
        <w:gridCol w:w="1053"/>
      </w:tblGrid>
      <w:tr w:rsidR="00360733" w:rsidRPr="00F1132F" w:rsidTr="003A7A64">
        <w:trPr>
          <w:trHeight w:val="276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№ з/п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Назва призначень  (об'єктів, робіт, основних засобів)</w:t>
            </w:r>
          </w:p>
        </w:tc>
        <w:tc>
          <w:tcPr>
            <w:tcW w:w="5949" w:type="dxa"/>
            <w:gridSpan w:val="6"/>
            <w:vMerge w:val="restart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Обсяг фінансування по роках, тис. грн</w:t>
            </w:r>
          </w:p>
        </w:tc>
        <w:tc>
          <w:tcPr>
            <w:tcW w:w="1053" w:type="dxa"/>
            <w:vMerge w:val="restart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Разом</w:t>
            </w:r>
          </w:p>
        </w:tc>
      </w:tr>
      <w:tr w:rsidR="00360733" w:rsidRPr="00F1132F" w:rsidTr="003A7A64">
        <w:trPr>
          <w:trHeight w:val="458"/>
        </w:trPr>
        <w:tc>
          <w:tcPr>
            <w:tcW w:w="578" w:type="dxa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5949" w:type="dxa"/>
            <w:gridSpan w:val="6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bCs/>
                <w:lang w:eastAsia="uk-UA"/>
              </w:rPr>
            </w:pPr>
          </w:p>
        </w:tc>
      </w:tr>
      <w:tr w:rsidR="00360733" w:rsidRPr="00F1132F" w:rsidTr="003A7A64">
        <w:trPr>
          <w:trHeight w:val="12"/>
        </w:trPr>
        <w:tc>
          <w:tcPr>
            <w:tcW w:w="578" w:type="dxa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2089" w:type="dxa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2027</w:t>
            </w:r>
          </w:p>
        </w:tc>
        <w:tc>
          <w:tcPr>
            <w:tcW w:w="1053" w:type="dxa"/>
            <w:vMerge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bCs/>
                <w:lang w:eastAsia="uk-UA"/>
              </w:rPr>
            </w:pPr>
          </w:p>
        </w:tc>
      </w:tr>
      <w:tr w:rsidR="00360733" w:rsidRPr="00F1132F" w:rsidTr="003A7A64">
        <w:trPr>
          <w:trHeight w:val="241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та реконструкція мереж водопостачання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1132F">
              <w:rPr>
                <w:sz w:val="22"/>
                <w:szCs w:val="22"/>
              </w:rPr>
              <w:t>1 773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9 273</w:t>
            </w:r>
          </w:p>
        </w:tc>
      </w:tr>
      <w:tr w:rsidR="00360733" w:rsidRPr="00F1132F" w:rsidTr="003A7A64">
        <w:trPr>
          <w:trHeight w:val="331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мереж водопостачання та водовідведення  в мікрорайонах приватної забудови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24 000</w:t>
            </w:r>
          </w:p>
        </w:tc>
      </w:tr>
      <w:tr w:rsidR="00360733" w:rsidRPr="00F1132F" w:rsidTr="003A7A64">
        <w:trPr>
          <w:trHeight w:val="423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3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 xml:space="preserve">Нове будівництво зовнішніх мереж водопроводу в с. </w:t>
            </w:r>
            <w:proofErr w:type="spellStart"/>
            <w:r w:rsidRPr="00F1132F">
              <w:rPr>
                <w:lang w:eastAsia="uk-UA"/>
              </w:rPr>
              <w:t>Шаровечка</w:t>
            </w:r>
            <w:proofErr w:type="spellEnd"/>
            <w:r w:rsidRPr="00F1132F">
              <w:rPr>
                <w:lang w:eastAsia="uk-UA"/>
              </w:rPr>
              <w:t xml:space="preserve"> , с. </w:t>
            </w:r>
            <w:proofErr w:type="spellStart"/>
            <w:r w:rsidRPr="00F1132F">
              <w:rPr>
                <w:lang w:eastAsia="uk-UA"/>
              </w:rPr>
              <w:t>Іванківці</w:t>
            </w:r>
            <w:proofErr w:type="spellEnd"/>
            <w:r w:rsidRPr="00F1132F">
              <w:rPr>
                <w:lang w:eastAsia="uk-UA"/>
              </w:rPr>
              <w:t xml:space="preserve">, с. </w:t>
            </w:r>
            <w:proofErr w:type="spellStart"/>
            <w:r w:rsidRPr="00F1132F">
              <w:rPr>
                <w:lang w:eastAsia="uk-UA"/>
              </w:rPr>
              <w:t>Олешин</w:t>
            </w:r>
            <w:proofErr w:type="spellEnd"/>
            <w:r w:rsidRPr="00F1132F">
              <w:rPr>
                <w:lang w:eastAsia="uk-UA"/>
              </w:rPr>
              <w:t xml:space="preserve">, с. </w:t>
            </w:r>
            <w:proofErr w:type="spellStart"/>
            <w:r w:rsidRPr="00F1132F">
              <w:rPr>
                <w:lang w:eastAsia="uk-UA"/>
              </w:rPr>
              <w:t>Мацьківці</w:t>
            </w:r>
            <w:proofErr w:type="spellEnd"/>
            <w:r w:rsidRPr="00F1132F">
              <w:rPr>
                <w:lang w:eastAsia="uk-UA"/>
              </w:rPr>
              <w:t xml:space="preserve"> Хмельницької міської територіальної громади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15 400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15 038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56 438</w:t>
            </w:r>
          </w:p>
        </w:tc>
      </w:tr>
      <w:tr w:rsidR="00360733" w:rsidRPr="00F1132F" w:rsidTr="003A7A64">
        <w:trPr>
          <w:trHeight w:val="62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 xml:space="preserve">Нове будівництво другої черги водогону від   с. </w:t>
            </w:r>
            <w:proofErr w:type="spellStart"/>
            <w:r w:rsidRPr="00F1132F">
              <w:rPr>
                <w:lang w:eastAsia="uk-UA"/>
              </w:rPr>
              <w:t>Чернелівка</w:t>
            </w:r>
            <w:proofErr w:type="spellEnd"/>
            <w:r w:rsidRPr="00F1132F">
              <w:rPr>
                <w:lang w:eastAsia="uk-UA"/>
              </w:rPr>
              <w:t xml:space="preserve"> </w:t>
            </w:r>
            <w:proofErr w:type="spellStart"/>
            <w:r w:rsidRPr="00F1132F">
              <w:rPr>
                <w:lang w:eastAsia="uk-UA"/>
              </w:rPr>
              <w:lastRenderedPageBreak/>
              <w:t>Красилівського</w:t>
            </w:r>
            <w:proofErr w:type="spellEnd"/>
            <w:r w:rsidRPr="00F1132F">
              <w:rPr>
                <w:lang w:eastAsia="uk-UA"/>
              </w:rPr>
              <w:t xml:space="preserve">  р-ну до               м. Хмельницький (коригування)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lastRenderedPageBreak/>
              <w:t>79 847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76 743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316 284</w:t>
            </w:r>
          </w:p>
        </w:tc>
      </w:tr>
      <w:tr w:rsidR="00360733" w:rsidRPr="00F1132F" w:rsidTr="003A7A64">
        <w:trPr>
          <w:trHeight w:val="190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lastRenderedPageBreak/>
              <w:t>5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Реконструкція та переобладнання артезіанських свердловин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3 000</w:t>
            </w:r>
          </w:p>
        </w:tc>
      </w:tr>
      <w:tr w:rsidR="00360733" w:rsidRPr="00F1132F" w:rsidTr="003A7A64">
        <w:trPr>
          <w:trHeight w:val="147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6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зон санітарної охорони (I  пояс)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1 200</w:t>
            </w:r>
          </w:p>
        </w:tc>
      </w:tr>
      <w:tr w:rsidR="00360733" w:rsidRPr="00F1132F" w:rsidTr="003A7A64">
        <w:trPr>
          <w:trHeight w:val="252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7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Будівництво та реконструкція водопровідних та каналізаційних насосних станцій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9 600</w:t>
            </w:r>
          </w:p>
        </w:tc>
      </w:tr>
      <w:tr w:rsidR="00360733" w:rsidRPr="00F1132F" w:rsidTr="003A7A64">
        <w:trPr>
          <w:trHeight w:val="190"/>
        </w:trPr>
        <w:tc>
          <w:tcPr>
            <w:tcW w:w="57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8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Придбання техніки, обладнання, інших матеріалів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3 342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18 342</w:t>
            </w:r>
          </w:p>
        </w:tc>
      </w:tr>
      <w:tr w:rsidR="00360733" w:rsidRPr="00F1132F" w:rsidTr="003A7A64">
        <w:trPr>
          <w:trHeight w:val="6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 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suppressAutoHyphens w:val="0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разом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107 062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106 085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103 447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94 343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13 600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13 600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360733" w:rsidRPr="00F1132F" w:rsidRDefault="00360733" w:rsidP="003A7A64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438 137</w:t>
            </w:r>
          </w:p>
        </w:tc>
      </w:tr>
    </w:tbl>
    <w:p w:rsidR="00360733" w:rsidRPr="0084724C" w:rsidRDefault="00360733" w:rsidP="00360733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</w:p>
    <w:p w:rsidR="00360733" w:rsidRDefault="00360733" w:rsidP="00360733">
      <w:pPr>
        <w:pStyle w:val="30"/>
        <w:ind w:firstLine="567"/>
        <w:jc w:val="both"/>
      </w:pPr>
      <w:r w:rsidRPr="0063199C">
        <w:t>1.</w:t>
      </w:r>
      <w:r>
        <w:t>7</w:t>
      </w:r>
      <w:r w:rsidRPr="0063199C">
        <w:t xml:space="preserve">. </w:t>
      </w:r>
      <w:r w:rsidRPr="0084724C">
        <w:rPr>
          <w:kern w:val="3"/>
          <w:lang w:eastAsia="zh-CN"/>
        </w:rPr>
        <w:t>Таблицю</w:t>
      </w:r>
      <w:r w:rsidRPr="00986567">
        <w:t xml:space="preserve"> </w:t>
      </w:r>
      <w:r>
        <w:t>після абзацу 13</w:t>
      </w:r>
      <w:r w:rsidRPr="0084724C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пункту</w:t>
      </w:r>
      <w:r>
        <w:rPr>
          <w:lang w:eastAsia="ru-RU"/>
        </w:rPr>
        <w:t xml:space="preserve"> 5.4</w:t>
      </w:r>
      <w:r w:rsidRPr="0084724C">
        <w:rPr>
          <w:lang w:eastAsia="ru-RU"/>
        </w:rPr>
        <w:t xml:space="preserve"> </w:t>
      </w:r>
      <w:r>
        <w:rPr>
          <w:kern w:val="3"/>
          <w:lang w:eastAsia="zh-CN"/>
        </w:rPr>
        <w:t>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Pr="0084724C">
        <w:rPr>
          <w:kern w:val="3"/>
          <w:lang w:eastAsia="zh-CN"/>
        </w:rPr>
        <w:t xml:space="preserve"> Програми викласти в н</w:t>
      </w:r>
      <w:r>
        <w:rPr>
          <w:kern w:val="3"/>
          <w:lang w:eastAsia="zh-CN"/>
        </w:rPr>
        <w:t>овій</w:t>
      </w:r>
      <w:r w:rsidRPr="0084724C">
        <w:rPr>
          <w:kern w:val="3"/>
          <w:lang w:eastAsia="zh-CN"/>
        </w:rPr>
        <w:t xml:space="preserve"> редакції:</w:t>
      </w:r>
    </w:p>
    <w:tbl>
      <w:tblPr>
        <w:tblpPr w:leftFromText="180" w:rightFromText="180" w:vertAnchor="text" w:horzAnchor="margin" w:tblpX="103" w:tblpY="10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449"/>
        <w:gridCol w:w="768"/>
        <w:gridCol w:w="768"/>
        <w:gridCol w:w="768"/>
        <w:gridCol w:w="768"/>
        <w:gridCol w:w="768"/>
        <w:gridCol w:w="1714"/>
      </w:tblGrid>
      <w:tr w:rsidR="00360733" w:rsidRPr="00D01A01" w:rsidTr="003A7A64">
        <w:trPr>
          <w:trHeight w:val="43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Назва призначень (об’єктів,</w:t>
            </w:r>
          </w:p>
          <w:p w:rsidR="00360733" w:rsidRPr="00D01A01" w:rsidRDefault="00360733" w:rsidP="003A7A64">
            <w:pPr>
              <w:jc w:val="center"/>
            </w:pPr>
            <w:r w:rsidRPr="00D01A01">
              <w:t>робіт, послуг, придбання</w:t>
            </w:r>
          </w:p>
          <w:p w:rsidR="00360733" w:rsidRPr="00D01A01" w:rsidRDefault="00360733" w:rsidP="003A7A64">
            <w:pPr>
              <w:jc w:val="center"/>
            </w:pPr>
            <w:r w:rsidRPr="00D01A01">
              <w:t>основних засобів)</w:t>
            </w:r>
          </w:p>
        </w:tc>
        <w:tc>
          <w:tcPr>
            <w:tcW w:w="7003" w:type="dxa"/>
            <w:gridSpan w:val="7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rPr>
                <w:rFonts w:eastAsia="Calibri"/>
              </w:rPr>
              <w:t>Обсяг фінансування по роках</w:t>
            </w:r>
            <w:r>
              <w:rPr>
                <w:rFonts w:eastAsia="Calibri"/>
              </w:rPr>
              <w:t>,</w:t>
            </w:r>
            <w:r w:rsidRPr="00D01A01">
              <w:rPr>
                <w:rFonts w:eastAsia="Calibri"/>
              </w:rPr>
              <w:t xml:space="preserve"> </w:t>
            </w:r>
            <w:r w:rsidRPr="00D01A01">
              <w:rPr>
                <w:rFonts w:eastAsia="Calibri"/>
                <w:bCs/>
                <w:lang w:eastAsia="uk-UA"/>
              </w:rPr>
              <w:t>тис. грн</w:t>
            </w:r>
          </w:p>
        </w:tc>
      </w:tr>
      <w:tr w:rsidR="00360733" w:rsidRPr="00D01A01" w:rsidTr="003A7A64">
        <w:trPr>
          <w:trHeight w:val="39"/>
        </w:trPr>
        <w:tc>
          <w:tcPr>
            <w:tcW w:w="2490" w:type="dxa"/>
            <w:vMerge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suppressAutoHyphens w:val="0"/>
              <w:jc w:val="center"/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2022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2023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2024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2025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2026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360733" w:rsidRPr="00D01A01" w:rsidRDefault="00360733" w:rsidP="003A7A64">
            <w:pPr>
              <w:jc w:val="center"/>
            </w:pPr>
            <w:r w:rsidRPr="00D01A01">
              <w:t>2027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360733" w:rsidRPr="00D01A01" w:rsidTr="003A7A64">
        <w:trPr>
          <w:trHeight w:val="860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360733" w:rsidRPr="00D01A01" w:rsidRDefault="00360733" w:rsidP="003A7A64">
            <w:pPr>
              <w:suppressAutoHyphens w:val="0"/>
              <w:rPr>
                <w:lang w:eastAsia="uk-UA"/>
              </w:rPr>
            </w:pPr>
            <w:r w:rsidRPr="00D01A01">
              <w:t>«Підвищення енергоефективності систем водопостачання та водоочищення: Реконструкція каналізаційних насосних станцій № 2, 7, 12 у місті Хмельницькому» у співпраці з Північною Екологічною Фінансовою Корпорацією (НЕФКО) та Хмельницькою міською радою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t>1</w:t>
            </w:r>
            <w:r>
              <w:t>3 297</w:t>
            </w:r>
            <w:r w:rsidRPr="00D01A01">
              <w:t xml:space="preserve"> тис. грн в т. ч.: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t>1</w:t>
            </w:r>
            <w:r>
              <w:t>3 297</w:t>
            </w:r>
            <w:r w:rsidRPr="00D01A01">
              <w:t xml:space="preserve"> тис. грн в т. ч.:</w:t>
            </w:r>
          </w:p>
        </w:tc>
      </w:tr>
      <w:tr w:rsidR="00360733" w:rsidRPr="00D01A01" w:rsidTr="003A7A64">
        <w:trPr>
          <w:trHeight w:val="102"/>
        </w:trPr>
        <w:tc>
          <w:tcPr>
            <w:tcW w:w="2490" w:type="dxa"/>
            <w:vMerge/>
            <w:vAlign w:val="center"/>
          </w:tcPr>
          <w:p w:rsidR="00360733" w:rsidRPr="00D01A01" w:rsidRDefault="00360733" w:rsidP="003A7A64"/>
        </w:tc>
        <w:tc>
          <w:tcPr>
            <w:tcW w:w="1449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t>1</w:t>
            </w:r>
            <w:r>
              <w:t xml:space="preserve"> </w:t>
            </w:r>
            <w:r w:rsidRPr="00D01A01">
              <w:t>000 тис. грн  - бюджет ХМТГ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t>1</w:t>
            </w:r>
            <w:r>
              <w:t xml:space="preserve"> </w:t>
            </w:r>
            <w:r w:rsidRPr="00D01A01">
              <w:t>000 тис. грн  - бюджет ХМТГ</w:t>
            </w:r>
          </w:p>
        </w:tc>
      </w:tr>
      <w:tr w:rsidR="00360733" w:rsidRPr="00D01A01" w:rsidTr="003A7A64">
        <w:trPr>
          <w:trHeight w:val="3284"/>
        </w:trPr>
        <w:tc>
          <w:tcPr>
            <w:tcW w:w="2490" w:type="dxa"/>
            <w:vMerge/>
            <w:vAlign w:val="center"/>
          </w:tcPr>
          <w:p w:rsidR="00360733" w:rsidRPr="00D01A01" w:rsidRDefault="00360733" w:rsidP="003A7A64"/>
        </w:tc>
        <w:tc>
          <w:tcPr>
            <w:tcW w:w="1449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t>1</w:t>
            </w:r>
            <w:r>
              <w:t>2 297</w:t>
            </w:r>
            <w:r w:rsidRPr="00D01A01">
              <w:t xml:space="preserve"> тис. грн  -запозичені кошти НЕФКО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60733" w:rsidRPr="00D01A01" w:rsidRDefault="00360733" w:rsidP="003A7A64">
            <w:pPr>
              <w:jc w:val="center"/>
            </w:pPr>
            <w:r w:rsidRPr="00D01A01">
              <w:t>1</w:t>
            </w:r>
            <w:r>
              <w:t>2 297</w:t>
            </w:r>
            <w:r w:rsidRPr="00D01A01">
              <w:t xml:space="preserve"> тис. грн  -запозичені кошти НЕФКО</w:t>
            </w:r>
          </w:p>
        </w:tc>
      </w:tr>
    </w:tbl>
    <w:p w:rsidR="00A8558A" w:rsidRDefault="00360733" w:rsidP="00FD6C1C">
      <w:pPr>
        <w:pStyle w:val="30"/>
        <w:ind w:firstLine="567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1.8. </w:t>
      </w:r>
      <w:r w:rsidRPr="0063199C">
        <w:rPr>
          <w:color w:val="auto"/>
          <w:shd w:val="clear" w:color="auto" w:fill="FFFFFF"/>
        </w:rPr>
        <w:t xml:space="preserve">Додаток </w:t>
      </w:r>
      <w:r w:rsidRPr="0063199C">
        <w:rPr>
          <w:color w:val="auto"/>
        </w:rPr>
        <w:t xml:space="preserve">«Заходи з утримання та ремонту </w:t>
      </w:r>
      <w:r>
        <w:rPr>
          <w:color w:val="auto"/>
        </w:rPr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</w:t>
      </w:r>
      <w:r w:rsidRPr="0063199C">
        <w:rPr>
          <w:bCs/>
          <w:color w:val="auto"/>
          <w:lang w:eastAsia="uk-UA"/>
        </w:rPr>
        <w:t>»</w:t>
      </w:r>
      <w:r>
        <w:rPr>
          <w:bCs/>
          <w:color w:val="auto"/>
          <w:lang w:eastAsia="uk-UA"/>
        </w:rPr>
        <w:t xml:space="preserve"> </w:t>
      </w:r>
      <w:r w:rsidRPr="0063199C">
        <w:rPr>
          <w:color w:val="auto"/>
          <w:shd w:val="clear" w:color="auto" w:fill="FFFFFF"/>
        </w:rPr>
        <w:t xml:space="preserve">до Програми </w:t>
      </w:r>
      <w:r w:rsidRPr="0063199C">
        <w:rPr>
          <w:bCs/>
          <w:color w:val="auto"/>
          <w:lang w:eastAsia="uk-UA"/>
        </w:rPr>
        <w:t xml:space="preserve"> викласти </w:t>
      </w:r>
      <w:r w:rsidRPr="0063199C">
        <w:rPr>
          <w:color w:val="auto"/>
          <w:shd w:val="clear" w:color="auto" w:fill="FFFFFF"/>
        </w:rPr>
        <w:t>у новій редакції (</w:t>
      </w:r>
      <w:r w:rsidRPr="0063199C">
        <w:rPr>
          <w:shd w:val="clear" w:color="auto" w:fill="FFFFFF"/>
        </w:rPr>
        <w:t>додається</w:t>
      </w:r>
      <w:r w:rsidRPr="0063199C">
        <w:rPr>
          <w:color w:val="auto"/>
          <w:shd w:val="clear" w:color="auto" w:fill="FFFFFF"/>
        </w:rPr>
        <w:t>).</w:t>
      </w:r>
    </w:p>
    <w:p w:rsidR="00FD6C1C" w:rsidRPr="00FD6C1C" w:rsidRDefault="00FD6C1C" w:rsidP="00FD6C1C">
      <w:pPr>
        <w:pStyle w:val="30"/>
        <w:ind w:firstLine="567"/>
        <w:jc w:val="both"/>
        <w:rPr>
          <w:bCs/>
          <w:color w:val="auto"/>
          <w:lang w:eastAsia="uk-UA"/>
        </w:rPr>
      </w:pPr>
      <w:r>
        <w:rPr>
          <w:color w:val="auto"/>
          <w:shd w:val="clear" w:color="auto" w:fill="FFFFFF"/>
          <w:lang w:val="en-US"/>
        </w:rPr>
        <w:t xml:space="preserve">2. </w:t>
      </w:r>
      <w:r>
        <w:rPr>
          <w:color w:val="auto"/>
          <w:shd w:val="clear" w:color="auto" w:fill="FFFFFF"/>
        </w:rPr>
        <w:t>Визнати таким, що втратило чинність рішення виконавчого комітету  від 22.09.2022 № 691 «</w:t>
      </w:r>
      <w:r w:rsidRPr="009A51CD">
        <w:t xml:space="preserve">Про внесення на розгляд сесії міської ради пропозиції про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>
        <w:t>ї міської ради від 15.12.2021 № 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роки»</w:t>
      </w:r>
      <w:r>
        <w:t>.</w:t>
      </w:r>
    </w:p>
    <w:p w:rsidR="00A8558A" w:rsidRPr="0063199C" w:rsidRDefault="00FD6C1C" w:rsidP="00A8558A">
      <w:pPr>
        <w:ind w:firstLine="567"/>
        <w:jc w:val="both"/>
      </w:pPr>
      <w:r>
        <w:t>3</w:t>
      </w:r>
      <w:r w:rsidR="00A8558A" w:rsidRPr="0063199C">
        <w:t>.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jc w:val="both"/>
      </w:pPr>
    </w:p>
    <w:p w:rsidR="00A8558A" w:rsidRPr="0063199C" w:rsidRDefault="00A8558A" w:rsidP="00A8558A">
      <w:pPr>
        <w:jc w:val="both"/>
        <w:rPr>
          <w:rFonts w:eastAsia="Calibri"/>
        </w:rPr>
      </w:pPr>
      <w:r w:rsidRPr="0063199C">
        <w:t>Міський голова</w:t>
      </w:r>
      <w:r w:rsidR="00F414C2"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  <w:t>О. СИМЧИШИН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4D1B8D" w:rsidRPr="0063199C" w:rsidRDefault="004D1B8D" w:rsidP="00A8558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D1B8D" w:rsidRPr="0063199C" w:rsidRDefault="004D1B8D" w:rsidP="004D1B8D">
      <w:pPr>
        <w:rPr>
          <w:rFonts w:eastAsia="Calibri"/>
          <w:lang w:eastAsia="en-US"/>
        </w:rPr>
      </w:pPr>
      <w:bookmarkStart w:id="0" w:name="_GoBack"/>
      <w:bookmarkEnd w:id="0"/>
    </w:p>
    <w:sectPr w:rsidR="004D1B8D" w:rsidRPr="0063199C" w:rsidSect="000D37CB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17F29"/>
    <w:multiLevelType w:val="multilevel"/>
    <w:tmpl w:val="6610C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23F0E"/>
    <w:rsid w:val="0012499E"/>
    <w:rsid w:val="00143B44"/>
    <w:rsid w:val="00172329"/>
    <w:rsid w:val="0018081D"/>
    <w:rsid w:val="00187D86"/>
    <w:rsid w:val="00195B15"/>
    <w:rsid w:val="001B4538"/>
    <w:rsid w:val="001D5106"/>
    <w:rsid w:val="001E1090"/>
    <w:rsid w:val="00200DF8"/>
    <w:rsid w:val="0022191A"/>
    <w:rsid w:val="0024688E"/>
    <w:rsid w:val="002604CA"/>
    <w:rsid w:val="00272013"/>
    <w:rsid w:val="002A09B5"/>
    <w:rsid w:val="002F002C"/>
    <w:rsid w:val="00314446"/>
    <w:rsid w:val="00360733"/>
    <w:rsid w:val="003608CA"/>
    <w:rsid w:val="0039068F"/>
    <w:rsid w:val="0039549D"/>
    <w:rsid w:val="003A04AD"/>
    <w:rsid w:val="003C28AD"/>
    <w:rsid w:val="003D11C6"/>
    <w:rsid w:val="003D6F6A"/>
    <w:rsid w:val="00426BAE"/>
    <w:rsid w:val="0043334E"/>
    <w:rsid w:val="00462431"/>
    <w:rsid w:val="00464D2B"/>
    <w:rsid w:val="00470AAD"/>
    <w:rsid w:val="004A24B7"/>
    <w:rsid w:val="004B1776"/>
    <w:rsid w:val="004C36D7"/>
    <w:rsid w:val="004C3B5B"/>
    <w:rsid w:val="004D1B8D"/>
    <w:rsid w:val="00590637"/>
    <w:rsid w:val="00592900"/>
    <w:rsid w:val="005A24D9"/>
    <w:rsid w:val="005A717E"/>
    <w:rsid w:val="00603853"/>
    <w:rsid w:val="0063199C"/>
    <w:rsid w:val="006730B8"/>
    <w:rsid w:val="00683393"/>
    <w:rsid w:val="00692E33"/>
    <w:rsid w:val="006A3C17"/>
    <w:rsid w:val="006B7652"/>
    <w:rsid w:val="006C1558"/>
    <w:rsid w:val="006E2413"/>
    <w:rsid w:val="006E277C"/>
    <w:rsid w:val="007319B7"/>
    <w:rsid w:val="007327CB"/>
    <w:rsid w:val="007623BE"/>
    <w:rsid w:val="00771095"/>
    <w:rsid w:val="00780A4F"/>
    <w:rsid w:val="00797617"/>
    <w:rsid w:val="00797894"/>
    <w:rsid w:val="007A6C73"/>
    <w:rsid w:val="007B2C73"/>
    <w:rsid w:val="007D49BA"/>
    <w:rsid w:val="007E2341"/>
    <w:rsid w:val="007E4536"/>
    <w:rsid w:val="0080020A"/>
    <w:rsid w:val="00840013"/>
    <w:rsid w:val="0084724C"/>
    <w:rsid w:val="00851663"/>
    <w:rsid w:val="00866C3E"/>
    <w:rsid w:val="00875FC7"/>
    <w:rsid w:val="008859EB"/>
    <w:rsid w:val="008C187B"/>
    <w:rsid w:val="008C7BEA"/>
    <w:rsid w:val="008F70F2"/>
    <w:rsid w:val="0098656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E92"/>
    <w:rsid w:val="00AE1FC6"/>
    <w:rsid w:val="00B07B9E"/>
    <w:rsid w:val="00B1300C"/>
    <w:rsid w:val="00B4299F"/>
    <w:rsid w:val="00B63271"/>
    <w:rsid w:val="00B63EA5"/>
    <w:rsid w:val="00B84AA2"/>
    <w:rsid w:val="00BF2DE4"/>
    <w:rsid w:val="00C153FE"/>
    <w:rsid w:val="00C1547A"/>
    <w:rsid w:val="00C1767F"/>
    <w:rsid w:val="00C2327A"/>
    <w:rsid w:val="00C448AC"/>
    <w:rsid w:val="00C653C1"/>
    <w:rsid w:val="00C674FD"/>
    <w:rsid w:val="00C67E61"/>
    <w:rsid w:val="00C71279"/>
    <w:rsid w:val="00C85E0A"/>
    <w:rsid w:val="00CA05E6"/>
    <w:rsid w:val="00CA6A1A"/>
    <w:rsid w:val="00CC1497"/>
    <w:rsid w:val="00CF0D2A"/>
    <w:rsid w:val="00D0025E"/>
    <w:rsid w:val="00D01A01"/>
    <w:rsid w:val="00D16FEA"/>
    <w:rsid w:val="00D1761C"/>
    <w:rsid w:val="00D26217"/>
    <w:rsid w:val="00D6729F"/>
    <w:rsid w:val="00D73371"/>
    <w:rsid w:val="00D9081E"/>
    <w:rsid w:val="00DF4600"/>
    <w:rsid w:val="00E654FA"/>
    <w:rsid w:val="00E65A6F"/>
    <w:rsid w:val="00E74551"/>
    <w:rsid w:val="00E836AA"/>
    <w:rsid w:val="00EE1F23"/>
    <w:rsid w:val="00EF1203"/>
    <w:rsid w:val="00EF61AB"/>
    <w:rsid w:val="00F1132F"/>
    <w:rsid w:val="00F3039A"/>
    <w:rsid w:val="00F414C2"/>
    <w:rsid w:val="00F45D1F"/>
    <w:rsid w:val="00F75F80"/>
    <w:rsid w:val="00F82D4F"/>
    <w:rsid w:val="00F95E6C"/>
    <w:rsid w:val="00FB418C"/>
    <w:rsid w:val="00FD64F2"/>
    <w:rsid w:val="00FD6C1C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E66C-92CA-4EC3-BA46-E850E37B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5146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14</cp:revision>
  <cp:lastPrinted>2022-11-24T06:11:00Z</cp:lastPrinted>
  <dcterms:created xsi:type="dcterms:W3CDTF">2022-11-23T14:42:00Z</dcterms:created>
  <dcterms:modified xsi:type="dcterms:W3CDTF">2022-11-24T09:56:00Z</dcterms:modified>
</cp:coreProperties>
</file>