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198D" w:rsidRPr="00EF6155" w:rsidRDefault="0027198D" w:rsidP="008F1CEF">
      <w:pPr>
        <w:shd w:val="clear" w:color="auto" w:fill="FFFFFF"/>
        <w:spacing w:after="0" w:line="240" w:lineRule="auto"/>
        <w:rPr>
          <w:rFonts w:ascii="Arial" w:hAnsi="Arial" w:cs="Arial"/>
          <w:b/>
          <w:sz w:val="24"/>
          <w:szCs w:val="24"/>
          <w:lang w:val="en-US"/>
        </w:rPr>
      </w:pPr>
    </w:p>
    <w:p w:rsidR="00EF6155" w:rsidRPr="00E54C88" w:rsidRDefault="007F0AA2" w:rsidP="006B144C">
      <w:pPr>
        <w:shd w:val="clear" w:color="auto" w:fill="FFFFFF"/>
        <w:spacing w:after="0" w:line="240" w:lineRule="auto"/>
        <w:jc w:val="center"/>
        <w:rPr>
          <w:rFonts w:ascii="Arial" w:hAnsi="Arial" w:cs="Arial"/>
          <w:b/>
          <w:sz w:val="24"/>
          <w:szCs w:val="24"/>
        </w:rPr>
      </w:pPr>
      <w:r>
        <w:rPr>
          <w:rFonts w:ascii="Arial" w:hAnsi="Arial" w:cs="Arial"/>
          <w:b/>
          <w:sz w:val="24"/>
          <w:szCs w:val="24"/>
          <w:lang w:val="uk-UA"/>
        </w:rPr>
        <w:t>Резюме семінару. К</w:t>
      </w:r>
      <w:r w:rsidR="00E54C88">
        <w:rPr>
          <w:rFonts w:ascii="Arial" w:hAnsi="Arial" w:cs="Arial"/>
          <w:b/>
          <w:sz w:val="24"/>
          <w:szCs w:val="24"/>
          <w:lang w:val="uk-UA"/>
        </w:rPr>
        <w:t>онсультаці</w:t>
      </w:r>
      <w:r>
        <w:rPr>
          <w:rFonts w:ascii="Arial" w:hAnsi="Arial" w:cs="Arial"/>
          <w:b/>
          <w:sz w:val="24"/>
          <w:szCs w:val="24"/>
          <w:lang w:val="uk-UA"/>
        </w:rPr>
        <w:t>я</w:t>
      </w:r>
      <w:r w:rsidR="00E54C88">
        <w:rPr>
          <w:rFonts w:ascii="Arial" w:hAnsi="Arial" w:cs="Arial"/>
          <w:b/>
          <w:sz w:val="24"/>
          <w:szCs w:val="24"/>
          <w:lang w:val="uk-UA"/>
        </w:rPr>
        <w:t xml:space="preserve"> з зацікавленими сторонами </w:t>
      </w:r>
      <w:r w:rsidR="009D1188" w:rsidRPr="00EF6155">
        <w:rPr>
          <w:rFonts w:ascii="Arial" w:hAnsi="Arial" w:cs="Arial"/>
          <w:b/>
          <w:sz w:val="24"/>
          <w:szCs w:val="24"/>
          <w:lang w:val="uk-UA"/>
        </w:rPr>
        <w:t>№</w:t>
      </w:r>
      <w:r w:rsidR="00126A14" w:rsidRPr="00E54C88">
        <w:rPr>
          <w:rFonts w:ascii="Arial" w:hAnsi="Arial" w:cs="Arial"/>
          <w:b/>
          <w:sz w:val="24"/>
          <w:szCs w:val="24"/>
        </w:rPr>
        <w:t>4</w:t>
      </w:r>
      <w:r w:rsidR="008F1CEF" w:rsidRPr="00E54C88">
        <w:rPr>
          <w:rFonts w:ascii="Arial" w:hAnsi="Arial" w:cs="Arial"/>
          <w:b/>
          <w:sz w:val="24"/>
          <w:szCs w:val="24"/>
        </w:rPr>
        <w:t>.</w:t>
      </w:r>
    </w:p>
    <w:p w:rsidR="006B144C" w:rsidRPr="00E54C88" w:rsidRDefault="006B144C" w:rsidP="006B144C">
      <w:pPr>
        <w:shd w:val="clear" w:color="auto" w:fill="FFFFFF"/>
        <w:spacing w:after="0" w:line="240" w:lineRule="auto"/>
        <w:jc w:val="center"/>
        <w:rPr>
          <w:rFonts w:ascii="Arial" w:eastAsia="Times New Roman" w:hAnsi="Arial" w:cs="Arial"/>
          <w:b/>
          <w:color w:val="222222"/>
          <w:sz w:val="20"/>
          <w:szCs w:val="20"/>
          <w:lang w:eastAsia="ru-RU"/>
        </w:rPr>
      </w:pPr>
    </w:p>
    <w:p w:rsidR="005B7383" w:rsidRPr="00E54C88" w:rsidRDefault="00E54C88" w:rsidP="00EF6155">
      <w:pPr>
        <w:jc w:val="center"/>
        <w:rPr>
          <w:rFonts w:ascii="Arial" w:hAnsi="Arial" w:cs="Arial"/>
          <w:sz w:val="20"/>
          <w:szCs w:val="20"/>
        </w:rPr>
      </w:pPr>
      <w:r>
        <w:rPr>
          <w:rFonts w:ascii="Arial" w:eastAsia="Times New Roman" w:hAnsi="Arial" w:cs="Arial"/>
          <w:b/>
          <w:color w:val="222222"/>
          <w:sz w:val="20"/>
          <w:szCs w:val="20"/>
          <w:lang w:val="uk-UA" w:eastAsia="ru-RU"/>
        </w:rPr>
        <w:t>План дій «Зелене місто» для міста Хмельницького:</w:t>
      </w:r>
      <w:r w:rsidR="0065798C" w:rsidRPr="00E54C88">
        <w:rPr>
          <w:rFonts w:ascii="Arial" w:eastAsia="Times New Roman" w:hAnsi="Arial" w:cs="Arial"/>
          <w:b/>
          <w:color w:val="222222"/>
          <w:sz w:val="20"/>
          <w:szCs w:val="20"/>
          <w:lang w:eastAsia="ru-RU"/>
        </w:rPr>
        <w:t xml:space="preserve"> </w:t>
      </w:r>
      <w:r>
        <w:rPr>
          <w:rFonts w:ascii="Arial" w:eastAsia="Times New Roman" w:hAnsi="Arial" w:cs="Arial"/>
          <w:b/>
          <w:color w:val="222222"/>
          <w:sz w:val="20"/>
          <w:szCs w:val="20"/>
          <w:lang w:val="uk-UA" w:eastAsia="ru-RU"/>
        </w:rPr>
        <w:t xml:space="preserve">«остаточний список» заходів </w:t>
      </w:r>
    </w:p>
    <w:p w:rsidR="004D49EA" w:rsidRPr="005839CD" w:rsidRDefault="002048F0" w:rsidP="007C0509">
      <w:pPr>
        <w:spacing w:after="0" w:line="240" w:lineRule="auto"/>
        <w:jc w:val="both"/>
        <w:rPr>
          <w:lang w:val="uk-UA"/>
        </w:rPr>
      </w:pPr>
      <w:r w:rsidRPr="002048F0">
        <w:t xml:space="preserve">26 </w:t>
      </w:r>
      <w:r>
        <w:rPr>
          <w:lang w:val="en-GB"/>
        </w:rPr>
        <w:t>c</w:t>
      </w:r>
      <w:r>
        <w:rPr>
          <w:lang w:val="uk-UA"/>
        </w:rPr>
        <w:t xml:space="preserve">ічня 2022 року в рамках проекту </w:t>
      </w:r>
      <w:r w:rsidR="007F0AA2">
        <w:rPr>
          <w:lang w:val="uk-UA"/>
        </w:rPr>
        <w:t xml:space="preserve">з підготовки </w:t>
      </w:r>
      <w:r>
        <w:rPr>
          <w:lang w:val="uk-UA"/>
        </w:rPr>
        <w:t>Плану дій «</w:t>
      </w:r>
      <w:r w:rsidR="007F0AA2">
        <w:rPr>
          <w:lang w:val="uk-UA"/>
        </w:rPr>
        <w:t>З</w:t>
      </w:r>
      <w:r>
        <w:rPr>
          <w:lang w:val="uk-UA"/>
        </w:rPr>
        <w:t xml:space="preserve">елене місто» для м. Хмельницького відбувся черговий семінар-консультація з зацікавленими сторонами </w:t>
      </w:r>
      <w:r w:rsidR="007F0AA2">
        <w:rPr>
          <w:lang w:val="uk-UA"/>
        </w:rPr>
        <w:t>№</w:t>
      </w:r>
      <w:r w:rsidR="00720D6E" w:rsidRPr="002048F0">
        <w:t>4</w:t>
      </w:r>
      <w:r w:rsidR="007F0AA2">
        <w:rPr>
          <w:lang w:val="uk-UA"/>
        </w:rPr>
        <w:t xml:space="preserve">, який підсумував </w:t>
      </w:r>
      <w:r w:rsidR="00410870">
        <w:rPr>
          <w:lang w:val="uk-UA"/>
        </w:rPr>
        <w:t>етап формування «остаточного списку» потенційних заходів ПДЗМ (</w:t>
      </w:r>
      <w:r w:rsidR="004D49EA" w:rsidRPr="006E40EE">
        <w:rPr>
          <w:lang w:val="en-GB"/>
        </w:rPr>
        <w:t>Shortlisting</w:t>
      </w:r>
      <w:r w:rsidR="004D49EA" w:rsidRPr="002048F0">
        <w:t xml:space="preserve"> </w:t>
      </w:r>
      <w:r w:rsidR="00A703D1" w:rsidRPr="006E40EE">
        <w:rPr>
          <w:lang w:val="en-GB"/>
        </w:rPr>
        <w:t>stage</w:t>
      </w:r>
      <w:r w:rsidR="00410870">
        <w:rPr>
          <w:lang w:val="uk-UA"/>
        </w:rPr>
        <w:t>)</w:t>
      </w:r>
      <w:r w:rsidR="004D49EA" w:rsidRPr="002048F0">
        <w:t xml:space="preserve">. </w:t>
      </w:r>
      <w:r w:rsidR="00410870">
        <w:rPr>
          <w:lang w:val="uk-UA"/>
        </w:rPr>
        <w:t xml:space="preserve">З квітня 2021 року в рамках Програми ЄБРР «ЗЕЛЕНІ МІСТА» команда консультантів працює над розробкою Плану дій «Зелене місто» для міста Хмельницького за фінансової підтримки Швеції. Міжнародні консалтингові компанії </w:t>
      </w:r>
      <w:r w:rsidR="00254FAB" w:rsidRPr="006E40EE">
        <w:rPr>
          <w:lang w:val="en-GB"/>
        </w:rPr>
        <w:t>WS</w:t>
      </w:r>
      <w:r w:rsidR="00254FAB" w:rsidRPr="005839CD">
        <w:rPr>
          <w:lang w:val="uk-UA"/>
        </w:rPr>
        <w:t xml:space="preserve"> </w:t>
      </w:r>
      <w:r w:rsidR="004D49EA" w:rsidRPr="006E40EE">
        <w:rPr>
          <w:lang w:val="en-GB"/>
        </w:rPr>
        <w:t>Atkins</w:t>
      </w:r>
      <w:r w:rsidR="004D49EA" w:rsidRPr="005839CD">
        <w:rPr>
          <w:lang w:val="uk-UA"/>
        </w:rPr>
        <w:t xml:space="preserve"> </w:t>
      </w:r>
      <w:r w:rsidR="00410870">
        <w:rPr>
          <w:lang w:val="en-US"/>
        </w:rPr>
        <w:t>International</w:t>
      </w:r>
      <w:r w:rsidR="00410870" w:rsidRPr="005839CD">
        <w:rPr>
          <w:lang w:val="uk-UA"/>
        </w:rPr>
        <w:t xml:space="preserve"> </w:t>
      </w:r>
      <w:r w:rsidR="00410870">
        <w:rPr>
          <w:lang w:val="uk-UA"/>
        </w:rPr>
        <w:t xml:space="preserve">в партнерстві з </w:t>
      </w:r>
      <w:r w:rsidR="004D49EA" w:rsidRPr="006E40EE">
        <w:rPr>
          <w:lang w:val="en-GB"/>
        </w:rPr>
        <w:t>Bilfinger</w:t>
      </w:r>
      <w:r w:rsidR="004D49EA" w:rsidRPr="005839CD">
        <w:rPr>
          <w:lang w:val="uk-UA"/>
        </w:rPr>
        <w:t xml:space="preserve"> </w:t>
      </w:r>
      <w:r w:rsidR="004D49EA" w:rsidRPr="006E40EE">
        <w:rPr>
          <w:lang w:val="en-GB"/>
        </w:rPr>
        <w:t>Tebodin</w:t>
      </w:r>
      <w:r w:rsidR="004D49EA" w:rsidRPr="005839CD">
        <w:rPr>
          <w:lang w:val="uk-UA"/>
        </w:rPr>
        <w:t xml:space="preserve"> </w:t>
      </w:r>
      <w:r w:rsidR="004D49EA" w:rsidRPr="006E40EE">
        <w:rPr>
          <w:lang w:val="en-GB"/>
        </w:rPr>
        <w:t>Ukraine</w:t>
      </w:r>
      <w:r w:rsidR="004D49EA" w:rsidRPr="005839CD">
        <w:rPr>
          <w:lang w:val="uk-UA"/>
        </w:rPr>
        <w:t xml:space="preserve"> </w:t>
      </w:r>
      <w:r w:rsidR="00410870">
        <w:rPr>
          <w:lang w:val="uk-UA"/>
        </w:rPr>
        <w:t>розробля</w:t>
      </w:r>
      <w:r w:rsidR="005839CD">
        <w:rPr>
          <w:lang w:val="uk-UA"/>
        </w:rPr>
        <w:t>ю</w:t>
      </w:r>
      <w:r w:rsidR="00410870">
        <w:rPr>
          <w:lang w:val="uk-UA"/>
        </w:rPr>
        <w:t xml:space="preserve">ть ПДЗМ </w:t>
      </w:r>
      <w:r w:rsidR="005839CD">
        <w:rPr>
          <w:lang w:val="uk-UA"/>
        </w:rPr>
        <w:t>у тісній співпраці з експертною групою Хмельницької міської ради та місцевими зацікавленими сторонами: усі етапи розробки ПДЗМ узгоджуються з місцевою фаховою спільнотою та ключовими зацікавленими сторонами міської ради.</w:t>
      </w:r>
    </w:p>
    <w:p w:rsidR="00F73A8F" w:rsidRPr="005839CD" w:rsidRDefault="005839CD" w:rsidP="007C0509">
      <w:pPr>
        <w:spacing w:after="0" w:line="240" w:lineRule="auto"/>
        <w:jc w:val="both"/>
        <w:rPr>
          <w:lang w:val="uk-UA"/>
        </w:rPr>
      </w:pPr>
      <w:r>
        <w:rPr>
          <w:lang w:val="uk-UA"/>
        </w:rPr>
        <w:t xml:space="preserve">Наразі напрацьовано проект «остаточного» списку потенційних заходів, які мають сформувати основу ПДЗМ. </w:t>
      </w:r>
      <w:r w:rsidR="00E718EA">
        <w:rPr>
          <w:lang w:val="uk-UA"/>
        </w:rPr>
        <w:t>«</w:t>
      </w:r>
      <w:r>
        <w:rPr>
          <w:lang w:val="uk-UA"/>
        </w:rPr>
        <w:t>Короткий список</w:t>
      </w:r>
      <w:r w:rsidR="00E718EA">
        <w:rPr>
          <w:lang w:val="uk-UA"/>
        </w:rPr>
        <w:t>»</w:t>
      </w:r>
      <w:r>
        <w:rPr>
          <w:lang w:val="uk-UA"/>
        </w:rPr>
        <w:t xml:space="preserve"> заходів погоджено з керівництвом міста, </w:t>
      </w:r>
      <w:r w:rsidR="00E718EA">
        <w:rPr>
          <w:lang w:val="uk-UA"/>
        </w:rPr>
        <w:t>а також</w:t>
      </w:r>
      <w:r>
        <w:rPr>
          <w:lang w:val="uk-UA"/>
        </w:rPr>
        <w:t xml:space="preserve"> організовано відкриту консультацію з більш широким колом зацікавлених сторін з метою отримання підтвердження від представників різних груп інтересу </w:t>
      </w:r>
      <w:r w:rsidR="00E718EA">
        <w:rPr>
          <w:lang w:val="uk-UA"/>
        </w:rPr>
        <w:t xml:space="preserve">щодо </w:t>
      </w:r>
      <w:r>
        <w:rPr>
          <w:lang w:val="uk-UA"/>
        </w:rPr>
        <w:t>відповідності  та доцільності обраних заходів для місцевої громади</w:t>
      </w:r>
      <w:r w:rsidR="00254FAB" w:rsidRPr="005839CD">
        <w:rPr>
          <w:lang w:val="uk-UA"/>
        </w:rPr>
        <w:t xml:space="preserve">. </w:t>
      </w:r>
    </w:p>
    <w:p w:rsidR="009B58EF" w:rsidRPr="000118DF" w:rsidRDefault="005E3F32" w:rsidP="007C0509">
      <w:pPr>
        <w:spacing w:after="0" w:line="240" w:lineRule="auto"/>
        <w:jc w:val="both"/>
        <w:rPr>
          <w:lang w:val="en-GB"/>
        </w:rPr>
      </w:pPr>
      <w:r>
        <w:rPr>
          <w:b/>
          <w:lang w:val="uk-UA"/>
        </w:rPr>
        <w:t>Цілі та очікувані результати</w:t>
      </w:r>
      <w:r w:rsidR="00F73A8F" w:rsidRPr="006E40EE">
        <w:rPr>
          <w:b/>
          <w:lang w:val="en-GB"/>
        </w:rPr>
        <w:t>.</w:t>
      </w:r>
      <w:r w:rsidR="00F73A8F" w:rsidRPr="006E40EE">
        <w:rPr>
          <w:lang w:val="en-GB"/>
        </w:rPr>
        <w:t xml:space="preserve"> </w:t>
      </w:r>
      <w:r>
        <w:rPr>
          <w:lang w:val="uk-UA"/>
        </w:rPr>
        <w:t>Ціллю консультаційної сесії з залучення зацікавлених сторін було презентувати відібраний список заходів представникам місцевої експертної спільноти,</w:t>
      </w:r>
      <w:r w:rsidR="004E4FE1">
        <w:rPr>
          <w:lang w:val="uk-UA"/>
        </w:rPr>
        <w:t xml:space="preserve"> </w:t>
      </w:r>
      <w:r w:rsidR="00416672">
        <w:rPr>
          <w:lang w:val="uk-UA"/>
        </w:rPr>
        <w:t xml:space="preserve">отримати зворотній зв'язок від учасників та погодження щодо обраних заходів для того, щоб доопрацювати </w:t>
      </w:r>
      <w:r w:rsidR="00416672" w:rsidRPr="000118DF">
        <w:rPr>
          <w:lang w:val="uk-UA"/>
        </w:rPr>
        <w:t>проєкт ПДЗМ, щоб він найкращим чином задовольняв екологічні потреби міста.</w:t>
      </w:r>
    </w:p>
    <w:p w:rsidR="00935954" w:rsidRPr="000118DF" w:rsidRDefault="00935954" w:rsidP="007C0509">
      <w:pPr>
        <w:spacing w:after="0" w:line="240" w:lineRule="auto"/>
        <w:jc w:val="both"/>
        <w:rPr>
          <w:lang w:val="uk-UA"/>
        </w:rPr>
      </w:pPr>
      <w:r w:rsidRPr="00E718EA">
        <w:rPr>
          <w:lang w:val="uk-UA"/>
        </w:rPr>
        <w:t>26 січня 2022 року була організована консультація</w:t>
      </w:r>
      <w:r w:rsidR="00E718EA">
        <w:rPr>
          <w:lang w:val="uk-UA"/>
        </w:rPr>
        <w:t xml:space="preserve">, з метою </w:t>
      </w:r>
      <w:r w:rsidRPr="00E718EA">
        <w:rPr>
          <w:lang w:val="uk-UA"/>
        </w:rPr>
        <w:t>презент</w:t>
      </w:r>
      <w:r w:rsidR="00E718EA">
        <w:rPr>
          <w:lang w:val="uk-UA"/>
        </w:rPr>
        <w:t>ації</w:t>
      </w:r>
      <w:r w:rsidR="00E718EA" w:rsidRPr="00E718EA">
        <w:rPr>
          <w:lang w:val="uk-UA"/>
        </w:rPr>
        <w:t xml:space="preserve"> зацікавленим сторонам</w:t>
      </w:r>
      <w:r w:rsidR="00E718EA">
        <w:rPr>
          <w:lang w:val="uk-UA"/>
        </w:rPr>
        <w:t xml:space="preserve"> напрацьованого </w:t>
      </w:r>
      <w:r w:rsidRPr="00E718EA">
        <w:rPr>
          <w:lang w:val="uk-UA"/>
        </w:rPr>
        <w:t>«остаточного списку» заходів</w:t>
      </w:r>
      <w:r w:rsidR="00E718EA">
        <w:rPr>
          <w:lang w:val="uk-UA"/>
        </w:rPr>
        <w:t xml:space="preserve"> та</w:t>
      </w:r>
      <w:r w:rsidRPr="00E718EA">
        <w:rPr>
          <w:lang w:val="uk-UA"/>
        </w:rPr>
        <w:t xml:space="preserve"> отримання </w:t>
      </w:r>
      <w:r w:rsidR="00E718EA">
        <w:rPr>
          <w:lang w:val="uk-UA"/>
        </w:rPr>
        <w:t xml:space="preserve">від них </w:t>
      </w:r>
      <w:r w:rsidRPr="00E718EA">
        <w:rPr>
          <w:lang w:val="uk-UA"/>
        </w:rPr>
        <w:t xml:space="preserve">зворотного зв’язку та </w:t>
      </w:r>
      <w:r w:rsidR="00E718EA">
        <w:rPr>
          <w:lang w:val="uk-UA"/>
        </w:rPr>
        <w:t>по</w:t>
      </w:r>
      <w:r w:rsidRPr="00E718EA">
        <w:rPr>
          <w:lang w:val="uk-UA"/>
        </w:rPr>
        <w:t>годження обраних заходів</w:t>
      </w:r>
      <w:r w:rsidR="00E718EA">
        <w:rPr>
          <w:lang w:val="uk-UA"/>
        </w:rPr>
        <w:t xml:space="preserve">. Це </w:t>
      </w:r>
      <w:r w:rsidRPr="00E718EA">
        <w:rPr>
          <w:lang w:val="uk-UA"/>
        </w:rPr>
        <w:t xml:space="preserve">дозволить доопрацювати проект ПДЗМ, який </w:t>
      </w:r>
      <w:r w:rsidR="00E718EA" w:rsidRPr="00E718EA">
        <w:rPr>
          <w:lang w:val="uk-UA"/>
        </w:rPr>
        <w:t xml:space="preserve">найкращим чином </w:t>
      </w:r>
      <w:r w:rsidRPr="00E718EA">
        <w:rPr>
          <w:lang w:val="uk-UA"/>
        </w:rPr>
        <w:t>задовольнятиме екологічні потреби міста</w:t>
      </w:r>
      <w:r w:rsidR="00E718EA" w:rsidRPr="00E718EA">
        <w:rPr>
          <w:lang w:val="uk-UA"/>
        </w:rPr>
        <w:t>.</w:t>
      </w:r>
      <w:r w:rsidRPr="00E718EA">
        <w:rPr>
          <w:lang w:val="uk-UA"/>
        </w:rPr>
        <w:t xml:space="preserve"> </w:t>
      </w:r>
    </w:p>
    <w:p w:rsidR="0014253E" w:rsidRPr="00E718EA" w:rsidRDefault="00416672" w:rsidP="007C0509">
      <w:pPr>
        <w:spacing w:after="0" w:line="240" w:lineRule="auto"/>
        <w:jc w:val="both"/>
        <w:rPr>
          <w:lang w:val="uk-UA"/>
        </w:rPr>
      </w:pPr>
      <w:r w:rsidRPr="00E718EA">
        <w:rPr>
          <w:b/>
          <w:lang w:val="uk-UA"/>
        </w:rPr>
        <w:t>Учасники</w:t>
      </w:r>
      <w:r w:rsidRPr="00E718EA">
        <w:rPr>
          <w:lang w:val="uk-UA"/>
        </w:rPr>
        <w:t xml:space="preserve">. </w:t>
      </w:r>
      <w:r w:rsidR="0014253E" w:rsidRPr="00E718EA">
        <w:rPr>
          <w:lang w:val="uk-UA"/>
        </w:rPr>
        <w:t xml:space="preserve">Понад 100 потенційних зацікавлених сторін були запрошені </w:t>
      </w:r>
      <w:r w:rsidR="00E718EA">
        <w:rPr>
          <w:lang w:val="uk-UA"/>
        </w:rPr>
        <w:t xml:space="preserve">через </w:t>
      </w:r>
      <w:r w:rsidR="0014253E" w:rsidRPr="00E718EA">
        <w:rPr>
          <w:lang w:val="uk-UA"/>
        </w:rPr>
        <w:t>різн</w:t>
      </w:r>
      <w:r w:rsidR="00E718EA">
        <w:rPr>
          <w:lang w:val="uk-UA"/>
        </w:rPr>
        <w:t>і</w:t>
      </w:r>
      <w:r w:rsidR="0014253E" w:rsidRPr="00E718EA">
        <w:rPr>
          <w:lang w:val="uk-UA"/>
        </w:rPr>
        <w:t xml:space="preserve"> канали, як-то оголошення в місцевих онлайн ЗМІ, сайт міста, Фейсбук-сторінку проєкту «Розумне довкілля. Хмельницький», який координує розробку ПДЗМ від ​​імені міста, персональні листи-запрошення та телефонні дзвінки. У формі Google було зареєстровано 76 учасників, 70 з них відвідали онлайн-захід (серед них 36 жінок і 34 чоловіки). Серед учасників були представники місцевих активних громадських організацій, експерти 2 університетів, Торгово-промислової палати, галузевих комунальних підприємств, структурних управлінь Хмельницької міської ради, бізнес-компаній, ЄБРР та Посольства Швеції.</w:t>
      </w:r>
    </w:p>
    <w:p w:rsidR="00E54C88" w:rsidRPr="00C353FC" w:rsidRDefault="0014253E" w:rsidP="007C0509">
      <w:pPr>
        <w:spacing w:after="0" w:line="240" w:lineRule="auto"/>
        <w:jc w:val="both"/>
        <w:rPr>
          <w:b/>
          <w:lang w:val="uk-UA"/>
        </w:rPr>
      </w:pPr>
      <w:r>
        <w:rPr>
          <w:b/>
          <w:lang w:val="uk-UA"/>
        </w:rPr>
        <w:t>Формат і програма заходу</w:t>
      </w:r>
      <w:r w:rsidR="00F73A8F" w:rsidRPr="00E718EA">
        <w:rPr>
          <w:b/>
        </w:rPr>
        <w:t xml:space="preserve">. </w:t>
      </w:r>
      <w:r w:rsidR="000118DF" w:rsidRPr="000118DF">
        <w:rPr>
          <w:lang w:val="uk-UA"/>
        </w:rPr>
        <w:t>За умов обмежень</w:t>
      </w:r>
      <w:r w:rsidR="000118DF">
        <w:rPr>
          <w:lang w:val="uk-UA"/>
        </w:rPr>
        <w:t xml:space="preserve">, </w:t>
      </w:r>
      <w:r w:rsidR="00E718EA">
        <w:rPr>
          <w:lang w:val="uk-UA"/>
        </w:rPr>
        <w:t>пов’язаних</w:t>
      </w:r>
      <w:r w:rsidR="000118DF">
        <w:rPr>
          <w:lang w:val="uk-UA"/>
        </w:rPr>
        <w:t xml:space="preserve"> з пандемією</w:t>
      </w:r>
      <w:r w:rsidR="000118DF" w:rsidRPr="000118DF">
        <w:t xml:space="preserve"> </w:t>
      </w:r>
      <w:r w:rsidR="00F73A8F" w:rsidRPr="006E40EE">
        <w:rPr>
          <w:lang w:val="en-GB"/>
        </w:rPr>
        <w:t>COVID</w:t>
      </w:r>
      <w:r w:rsidR="000118DF">
        <w:rPr>
          <w:lang w:val="uk-UA"/>
        </w:rPr>
        <w:t>,</w:t>
      </w:r>
      <w:r w:rsidR="00F73A8F" w:rsidRPr="000118DF">
        <w:t xml:space="preserve"> </w:t>
      </w:r>
      <w:r w:rsidR="000118DF">
        <w:rPr>
          <w:lang w:val="uk-UA"/>
        </w:rPr>
        <w:t xml:space="preserve">консультацію проведено онлайн, на платформі </w:t>
      </w:r>
      <w:r w:rsidR="00661F75" w:rsidRPr="006E40EE">
        <w:rPr>
          <w:lang w:val="en-GB"/>
        </w:rPr>
        <w:t>Z</w:t>
      </w:r>
      <w:r w:rsidR="00F73A8F" w:rsidRPr="006E40EE">
        <w:rPr>
          <w:lang w:val="en-GB"/>
        </w:rPr>
        <w:t>OOM</w:t>
      </w:r>
      <w:r w:rsidR="00E718EA">
        <w:rPr>
          <w:lang w:val="uk-UA"/>
        </w:rPr>
        <w:t>;</w:t>
      </w:r>
      <w:r w:rsidR="00F73A8F" w:rsidRPr="000118DF">
        <w:t xml:space="preserve"> </w:t>
      </w:r>
      <w:r w:rsidR="000118DF">
        <w:rPr>
          <w:lang w:val="uk-UA"/>
        </w:rPr>
        <w:t xml:space="preserve">для успішності двомовної комунікації компанією </w:t>
      </w:r>
      <w:r w:rsidR="00F73A8F" w:rsidRPr="006E40EE">
        <w:rPr>
          <w:lang w:val="en-GB"/>
        </w:rPr>
        <w:t>Atkins</w:t>
      </w:r>
      <w:r w:rsidR="00F73A8F" w:rsidRPr="00C353FC">
        <w:rPr>
          <w:lang w:val="uk-UA"/>
        </w:rPr>
        <w:t xml:space="preserve"> </w:t>
      </w:r>
      <w:r w:rsidR="000118DF">
        <w:rPr>
          <w:lang w:val="uk-UA"/>
        </w:rPr>
        <w:t>забезпечено синхронний переклад</w:t>
      </w:r>
      <w:r w:rsidR="00F73A8F" w:rsidRPr="00C353FC">
        <w:rPr>
          <w:lang w:val="uk-UA"/>
        </w:rPr>
        <w:t>.</w:t>
      </w:r>
      <w:r w:rsidR="00F73A8F" w:rsidRPr="00C353FC">
        <w:rPr>
          <w:b/>
          <w:lang w:val="uk-UA"/>
        </w:rPr>
        <w:t xml:space="preserve"> </w:t>
      </w:r>
    </w:p>
    <w:p w:rsidR="000118DF" w:rsidRPr="000118DF" w:rsidRDefault="000118DF" w:rsidP="007C0509">
      <w:pPr>
        <w:spacing w:after="0" w:line="240" w:lineRule="auto"/>
        <w:jc w:val="both"/>
        <w:rPr>
          <w:lang w:val="uk-UA"/>
        </w:rPr>
      </w:pPr>
      <w:r>
        <w:rPr>
          <w:lang w:val="uk-UA"/>
        </w:rPr>
        <w:t xml:space="preserve">На початку семінару учасників привітали заступник міського голови Микола </w:t>
      </w:r>
      <w:proofErr w:type="spellStart"/>
      <w:r>
        <w:rPr>
          <w:lang w:val="uk-UA"/>
        </w:rPr>
        <w:t>Ваврищук</w:t>
      </w:r>
      <w:proofErr w:type="spellEnd"/>
      <w:r>
        <w:rPr>
          <w:lang w:val="uk-UA"/>
        </w:rPr>
        <w:t>, очільник координаційної ради з розробки ПДЗМ для міста Хмельницького</w:t>
      </w:r>
      <w:r w:rsidR="00230D9D">
        <w:rPr>
          <w:lang w:val="uk-UA"/>
        </w:rPr>
        <w:t>;</w:t>
      </w:r>
      <w:r>
        <w:rPr>
          <w:lang w:val="uk-UA"/>
        </w:rPr>
        <w:t xml:space="preserve"> Ігор Князєв, провідний банкір, </w:t>
      </w:r>
      <w:r w:rsidR="00230D9D" w:rsidRPr="00230D9D">
        <w:rPr>
          <w:lang w:val="uk-UA"/>
        </w:rPr>
        <w:t xml:space="preserve">підрозділ </w:t>
      </w:r>
      <w:proofErr w:type="spellStart"/>
      <w:r w:rsidR="00230D9D" w:rsidRPr="00230D9D">
        <w:rPr>
          <w:lang w:val="uk-UA"/>
        </w:rPr>
        <w:t>Infrastructure</w:t>
      </w:r>
      <w:proofErr w:type="spellEnd"/>
      <w:r w:rsidR="00230D9D">
        <w:rPr>
          <w:lang w:val="uk-UA"/>
        </w:rPr>
        <w:t xml:space="preserve"> </w:t>
      </w:r>
      <w:proofErr w:type="spellStart"/>
      <w:r w:rsidR="00230D9D" w:rsidRPr="00230D9D">
        <w:rPr>
          <w:lang w:val="uk-UA"/>
        </w:rPr>
        <w:t>Europe</w:t>
      </w:r>
      <w:proofErr w:type="spellEnd"/>
      <w:r w:rsidR="00230D9D" w:rsidRPr="00230D9D">
        <w:rPr>
          <w:lang w:val="uk-UA"/>
        </w:rPr>
        <w:t>,</w:t>
      </w:r>
      <w:r w:rsidR="00230D9D" w:rsidRPr="00230D9D">
        <w:rPr>
          <w:lang w:val="uk-UA"/>
        </w:rPr>
        <w:t xml:space="preserve"> </w:t>
      </w:r>
      <w:r>
        <w:rPr>
          <w:lang w:val="uk-UA"/>
        </w:rPr>
        <w:t>Група сталої інфраструктури, ЄБРР</w:t>
      </w:r>
      <w:r w:rsidR="00230D9D">
        <w:rPr>
          <w:lang w:val="uk-UA"/>
        </w:rPr>
        <w:t>;</w:t>
      </w:r>
      <w:r>
        <w:rPr>
          <w:lang w:val="uk-UA"/>
        </w:rPr>
        <w:t xml:space="preserve"> та національний </w:t>
      </w:r>
      <w:r w:rsidR="00C353FC">
        <w:rPr>
          <w:lang w:val="uk-UA"/>
        </w:rPr>
        <w:t xml:space="preserve">програмний </w:t>
      </w:r>
      <w:r>
        <w:rPr>
          <w:lang w:val="uk-UA"/>
        </w:rPr>
        <w:t xml:space="preserve">координатор </w:t>
      </w:r>
      <w:r w:rsidR="00C353FC">
        <w:rPr>
          <w:lang w:val="uk-UA"/>
        </w:rPr>
        <w:t xml:space="preserve">проектів </w:t>
      </w:r>
      <w:r>
        <w:rPr>
          <w:lang w:val="uk-UA"/>
        </w:rPr>
        <w:t xml:space="preserve">Посольства Швеції Ярослав </w:t>
      </w:r>
      <w:proofErr w:type="spellStart"/>
      <w:r>
        <w:rPr>
          <w:lang w:val="uk-UA"/>
        </w:rPr>
        <w:t>Мелех</w:t>
      </w:r>
      <w:proofErr w:type="spellEnd"/>
      <w:r>
        <w:rPr>
          <w:lang w:val="uk-UA"/>
        </w:rPr>
        <w:t xml:space="preserve">. </w:t>
      </w:r>
    </w:p>
    <w:p w:rsidR="0055421D" w:rsidRPr="0055421D" w:rsidRDefault="0055421D" w:rsidP="007C0509">
      <w:pPr>
        <w:spacing w:after="0" w:line="240" w:lineRule="auto"/>
        <w:jc w:val="both"/>
        <w:rPr>
          <w:lang w:val="uk-UA"/>
        </w:rPr>
      </w:pPr>
      <w:r w:rsidRPr="0055421D">
        <w:rPr>
          <w:lang w:val="uk-UA"/>
        </w:rPr>
        <w:t xml:space="preserve">Після презентації заходів «короткого списку» учасники обговорили варіанти у тематичних групах, таких як транспорт, енергетика, промисловість і будівництво, вода, тверді побутові відходи та зелені зони, де були узгоджені пропоновані дії, запропоновані додаткові покращення, розглянуті ширші соціальні та «розумні» аспекти Плану та потенційні виконавці дій. Окремо була організована англомовна група для проведення змістовної консультативної сесії з експертами ЄБРР щодо вимог та можливостей розробки якісного ПДЗМ для Хмельницького </w:t>
      </w:r>
      <w:r w:rsidRPr="0055421D">
        <w:rPr>
          <w:lang w:val="uk-UA"/>
        </w:rPr>
        <w:t xml:space="preserve">з урахуванням </w:t>
      </w:r>
      <w:r w:rsidRPr="0055421D">
        <w:rPr>
          <w:lang w:val="uk-UA"/>
        </w:rPr>
        <w:t xml:space="preserve">досвіду інших Зелених міст Програми ЄБРР. На пленарному засіданні всім учасникам були представлені наскрізні дії, включаючи соціальні, гендерні та «смарт» питання. </w:t>
      </w:r>
    </w:p>
    <w:p w:rsidR="00A706E8" w:rsidRPr="00F12242" w:rsidRDefault="00F12242" w:rsidP="007C0509">
      <w:pPr>
        <w:spacing w:after="0" w:line="240" w:lineRule="auto"/>
        <w:jc w:val="both"/>
        <w:rPr>
          <w:lang w:val="uk-UA"/>
        </w:rPr>
      </w:pPr>
      <w:r w:rsidRPr="0055421D">
        <w:rPr>
          <w:b/>
          <w:lang w:val="uk-UA"/>
        </w:rPr>
        <w:t>Загальний зворотній зв'язок.</w:t>
      </w:r>
      <w:r w:rsidR="00166B05" w:rsidRPr="0055421D">
        <w:rPr>
          <w:lang w:val="uk-UA"/>
        </w:rPr>
        <w:t xml:space="preserve"> </w:t>
      </w:r>
      <w:r w:rsidRPr="0055421D">
        <w:rPr>
          <w:lang w:val="uk-UA"/>
        </w:rPr>
        <w:t>Майже всі учасники брали участь у попередніх заходах, тому консультація виявилась змістовною та послідовною. Для забезпечення змістовного зворотного зв’язку зареєстрованим учасникам заздалегідь було надано відповідну Інформаційну записку з резюме «остаточного списку» заходів</w:t>
      </w:r>
      <w:r w:rsidR="00D21AD9" w:rsidRPr="0055421D">
        <w:rPr>
          <w:lang w:val="uk-UA"/>
        </w:rPr>
        <w:t xml:space="preserve">. </w:t>
      </w:r>
      <w:r w:rsidRPr="0055421D">
        <w:rPr>
          <w:lang w:val="uk-UA"/>
        </w:rPr>
        <w:t xml:space="preserve">Експрес онлайн-опитування надало корисну інформацію про </w:t>
      </w:r>
      <w:r w:rsidRPr="0055421D">
        <w:rPr>
          <w:lang w:val="uk-UA"/>
        </w:rPr>
        <w:lastRenderedPageBreak/>
        <w:t>сприйняття місцевими зацікавленими сторонами важливості та пріоритетів рекомендованих дій та певні ідеї щодо посилення деяких заходів.</w:t>
      </w:r>
      <w:r w:rsidRPr="0055421D">
        <w:rPr>
          <w:lang w:val="uk-UA"/>
        </w:rPr>
        <w:t xml:space="preserve"> Підготовлений «остаточний список» заходів був схвалено місцевими зацікавленими сторонами та погоджен</w:t>
      </w:r>
      <w:r w:rsidR="0055421D">
        <w:rPr>
          <w:lang w:val="uk-UA"/>
        </w:rPr>
        <w:t>ий</w:t>
      </w:r>
      <w:r w:rsidRPr="0055421D">
        <w:rPr>
          <w:lang w:val="uk-UA"/>
        </w:rPr>
        <w:t xml:space="preserve"> усіма учасниками в цілому.</w:t>
      </w:r>
    </w:p>
    <w:p w:rsidR="00F12242" w:rsidRPr="0055421D" w:rsidRDefault="00F12242" w:rsidP="007C0509">
      <w:pPr>
        <w:spacing w:after="0" w:line="240" w:lineRule="auto"/>
        <w:jc w:val="both"/>
        <w:rPr>
          <w:lang w:val="uk-UA"/>
        </w:rPr>
      </w:pPr>
      <w:r w:rsidRPr="0055421D">
        <w:rPr>
          <w:lang w:val="uk-UA"/>
        </w:rPr>
        <w:t>Під час інтерактивних обговорень експерти отримали низку корисних коментарів та рекомендацій, а також деякі пропозиції та додаткову інформацію, як</w:t>
      </w:r>
      <w:r w:rsidR="00DB2286" w:rsidRPr="0055421D">
        <w:rPr>
          <w:lang w:val="uk-UA"/>
        </w:rPr>
        <w:t>а</w:t>
      </w:r>
      <w:r w:rsidRPr="0055421D">
        <w:rPr>
          <w:lang w:val="uk-UA"/>
        </w:rPr>
        <w:t xml:space="preserve"> бу</w:t>
      </w:r>
      <w:r w:rsidR="00DB2286" w:rsidRPr="0055421D">
        <w:rPr>
          <w:lang w:val="uk-UA"/>
        </w:rPr>
        <w:t>де корисною для доопрацювання ПДЗМ з урахуванням місцевого контексту</w:t>
      </w:r>
      <w:r w:rsidRPr="0055421D">
        <w:rPr>
          <w:lang w:val="uk-UA"/>
        </w:rPr>
        <w:t>. Основні отримані коментарі стосу</w:t>
      </w:r>
      <w:r w:rsidR="00DB2286" w:rsidRPr="0055421D">
        <w:rPr>
          <w:lang w:val="uk-UA"/>
        </w:rPr>
        <w:t>вались</w:t>
      </w:r>
      <w:r w:rsidRPr="0055421D">
        <w:rPr>
          <w:lang w:val="uk-UA"/>
        </w:rPr>
        <w:t xml:space="preserve"> кількісних цільових показників, потреб в уточненні рекомендованих заходів, більш детального опису заходів, потреб згадати наскрізні заходи в рамках секторальних дій (де це доречно), громадського контролю тощо.</w:t>
      </w:r>
    </w:p>
    <w:p w:rsidR="0009664B" w:rsidRDefault="0009664B" w:rsidP="007C0509">
      <w:pPr>
        <w:shd w:val="clear" w:color="auto" w:fill="FFFFFF"/>
        <w:spacing w:after="0" w:line="240" w:lineRule="auto"/>
        <w:jc w:val="both"/>
        <w:rPr>
          <w:rFonts w:ascii="Arial" w:hAnsi="Arial" w:cs="Arial"/>
          <w:b/>
          <w:lang w:val="uk-UA"/>
        </w:rPr>
      </w:pPr>
    </w:p>
    <w:p w:rsidR="00166B05" w:rsidRPr="00DB2286" w:rsidRDefault="00DB2286" w:rsidP="007C0509">
      <w:pPr>
        <w:shd w:val="clear" w:color="auto" w:fill="FFFFFF"/>
        <w:spacing w:after="0" w:line="240" w:lineRule="auto"/>
        <w:jc w:val="both"/>
        <w:rPr>
          <w:rFonts w:ascii="Arial" w:hAnsi="Arial" w:cs="Arial"/>
          <w:b/>
          <w:lang w:val="uk-UA"/>
        </w:rPr>
      </w:pPr>
      <w:r>
        <w:rPr>
          <w:rFonts w:ascii="Arial" w:hAnsi="Arial" w:cs="Arial"/>
          <w:b/>
          <w:lang w:val="uk-UA"/>
        </w:rPr>
        <w:t>Основні спостереження та узагальнені коментарі, отримані від зацікавлених сторін</w:t>
      </w:r>
      <w:r w:rsidR="00166B05" w:rsidRPr="00DB2286">
        <w:rPr>
          <w:rFonts w:ascii="Arial" w:hAnsi="Arial" w:cs="Arial"/>
          <w:b/>
          <w:lang w:val="uk-UA"/>
        </w:rPr>
        <w:t xml:space="preserve">: </w:t>
      </w:r>
    </w:p>
    <w:p w:rsidR="00166B05" w:rsidRPr="00DB2286" w:rsidRDefault="00166B05" w:rsidP="007C0509">
      <w:pPr>
        <w:shd w:val="clear" w:color="auto" w:fill="FFFFFF"/>
        <w:spacing w:after="0" w:line="240" w:lineRule="auto"/>
        <w:jc w:val="both"/>
        <w:rPr>
          <w:rFonts w:ascii="Arial" w:hAnsi="Arial" w:cs="Arial"/>
          <w:b/>
          <w:lang w:val="uk-UA"/>
        </w:rPr>
      </w:pPr>
      <w:r w:rsidRPr="00DB2286">
        <w:rPr>
          <w:rFonts w:ascii="Arial" w:hAnsi="Arial" w:cs="Arial"/>
          <w:b/>
          <w:lang w:val="uk-UA"/>
        </w:rPr>
        <w:t xml:space="preserve"> </w:t>
      </w:r>
    </w:p>
    <w:p w:rsidR="00075BEF" w:rsidRPr="00EE7A87" w:rsidRDefault="00DB2286" w:rsidP="007C0509">
      <w:pPr>
        <w:pStyle w:val="a3"/>
        <w:numPr>
          <w:ilvl w:val="0"/>
          <w:numId w:val="28"/>
        </w:numPr>
        <w:spacing w:after="0" w:line="240" w:lineRule="auto"/>
        <w:jc w:val="both"/>
        <w:rPr>
          <w:lang w:val="uk-UA"/>
        </w:rPr>
      </w:pPr>
      <w:r w:rsidRPr="00EE7A87">
        <w:rPr>
          <w:lang w:val="uk-UA"/>
        </w:rPr>
        <w:t>Зацікавлені сторони</w:t>
      </w:r>
      <w:r w:rsidR="00075BEF" w:rsidRPr="00EE7A87">
        <w:rPr>
          <w:lang w:val="uk-UA"/>
        </w:rPr>
        <w:t xml:space="preserve"> </w:t>
      </w:r>
      <w:r>
        <w:rPr>
          <w:lang w:val="uk-UA"/>
        </w:rPr>
        <w:t xml:space="preserve">високо оцінили, що розробники врахували </w:t>
      </w:r>
      <w:r w:rsidR="00EE7A87">
        <w:rPr>
          <w:lang w:val="uk-UA"/>
        </w:rPr>
        <w:t xml:space="preserve">їхні зауваження, коментарі та пропозиції в </w:t>
      </w:r>
      <w:r w:rsidR="0055421D">
        <w:rPr>
          <w:lang w:val="uk-UA"/>
        </w:rPr>
        <w:t xml:space="preserve">підготовленому </w:t>
      </w:r>
      <w:r w:rsidR="00EE7A87">
        <w:rPr>
          <w:lang w:val="uk-UA"/>
        </w:rPr>
        <w:t xml:space="preserve">проекті </w:t>
      </w:r>
      <w:r w:rsidR="0055421D">
        <w:rPr>
          <w:lang w:val="uk-UA"/>
        </w:rPr>
        <w:t>заходів</w:t>
      </w:r>
      <w:r w:rsidR="00EE7A87">
        <w:rPr>
          <w:lang w:val="uk-UA"/>
        </w:rPr>
        <w:t>. Обговорення в тематичних групах було конструктивним та позитивним.</w:t>
      </w:r>
      <w:r w:rsidR="00075BEF" w:rsidRPr="00EE7A87">
        <w:rPr>
          <w:lang w:val="uk-UA"/>
        </w:rPr>
        <w:t xml:space="preserve"> </w:t>
      </w:r>
    </w:p>
    <w:p w:rsidR="005316C8" w:rsidRPr="00EE7A87" w:rsidRDefault="00EE7A87" w:rsidP="007C0509">
      <w:pPr>
        <w:pStyle w:val="a3"/>
        <w:numPr>
          <w:ilvl w:val="0"/>
          <w:numId w:val="28"/>
        </w:numPr>
        <w:spacing w:after="0" w:line="240" w:lineRule="auto"/>
        <w:jc w:val="both"/>
        <w:rPr>
          <w:lang w:val="uk-UA"/>
        </w:rPr>
      </w:pPr>
      <w:r>
        <w:rPr>
          <w:lang w:val="uk-UA"/>
        </w:rPr>
        <w:t xml:space="preserve">Усі учасники погодились з запропонованим коротким </w:t>
      </w:r>
      <w:r w:rsidR="00B16B2C">
        <w:rPr>
          <w:lang w:val="uk-UA"/>
        </w:rPr>
        <w:t xml:space="preserve">(«остаточним») </w:t>
      </w:r>
      <w:r>
        <w:rPr>
          <w:lang w:val="uk-UA"/>
        </w:rPr>
        <w:t>списком заходів в цілому.</w:t>
      </w:r>
      <w:r w:rsidR="005316C8" w:rsidRPr="00EE7A87">
        <w:rPr>
          <w:lang w:val="uk-UA"/>
        </w:rPr>
        <w:t xml:space="preserve"> </w:t>
      </w:r>
    </w:p>
    <w:p w:rsidR="00EE7A87" w:rsidRDefault="00EE7A87" w:rsidP="007C0509">
      <w:pPr>
        <w:pStyle w:val="a3"/>
        <w:numPr>
          <w:ilvl w:val="0"/>
          <w:numId w:val="28"/>
        </w:numPr>
        <w:spacing w:after="0" w:line="240" w:lineRule="auto"/>
        <w:jc w:val="both"/>
        <w:rPr>
          <w:lang w:val="uk-UA"/>
        </w:rPr>
      </w:pPr>
      <w:r>
        <w:rPr>
          <w:lang w:val="uk-UA"/>
        </w:rPr>
        <w:t>Певні зауваження та пропозиції були зроблені щодо покращення заходів (специфікація</w:t>
      </w:r>
      <w:r w:rsidR="0055421D">
        <w:rPr>
          <w:lang w:val="uk-UA"/>
        </w:rPr>
        <w:t xml:space="preserve"> змісту</w:t>
      </w:r>
      <w:r>
        <w:rPr>
          <w:lang w:val="uk-UA"/>
        </w:rPr>
        <w:t>, конкретизація діяльності, уточнення термінології, редакторські правки, потреба в більш детальному роз’ясненні для кращого розуміння передбачених заходів).</w:t>
      </w:r>
    </w:p>
    <w:p w:rsidR="00EE7A87" w:rsidRPr="00EE7A87" w:rsidRDefault="0055421D" w:rsidP="007C0509">
      <w:pPr>
        <w:pStyle w:val="a3"/>
        <w:numPr>
          <w:ilvl w:val="0"/>
          <w:numId w:val="28"/>
        </w:numPr>
        <w:spacing w:after="0" w:line="240" w:lineRule="auto"/>
        <w:jc w:val="both"/>
      </w:pPr>
      <w:r>
        <w:rPr>
          <w:lang w:val="uk-UA"/>
        </w:rPr>
        <w:t>У</w:t>
      </w:r>
      <w:r w:rsidR="00EE7A87">
        <w:rPr>
          <w:lang w:val="uk-UA"/>
        </w:rPr>
        <w:t xml:space="preserve"> більшості тематичних груп учасниками </w:t>
      </w:r>
      <w:r>
        <w:rPr>
          <w:lang w:val="uk-UA"/>
        </w:rPr>
        <w:t xml:space="preserve">повторно </w:t>
      </w:r>
      <w:r w:rsidR="00EE7A87">
        <w:rPr>
          <w:lang w:val="uk-UA"/>
        </w:rPr>
        <w:t>було наголошено на потребі в кількісних цільових показниках для стратегічних цілей та заходів (де можливо), а також необхідності посилань на джерела інформації.</w:t>
      </w:r>
    </w:p>
    <w:p w:rsidR="005316C8" w:rsidRPr="0055421D" w:rsidRDefault="005316C8" w:rsidP="007C0509">
      <w:pPr>
        <w:pStyle w:val="a3"/>
        <w:spacing w:after="0" w:line="240" w:lineRule="auto"/>
        <w:ind w:left="360"/>
        <w:jc w:val="both"/>
      </w:pPr>
    </w:p>
    <w:p w:rsidR="0034450A" w:rsidRPr="00970D64" w:rsidRDefault="00EE7A87" w:rsidP="007C0509">
      <w:pPr>
        <w:spacing w:after="0" w:line="240" w:lineRule="auto"/>
        <w:jc w:val="both"/>
        <w:rPr>
          <w:b/>
          <w:lang w:val="en-GB"/>
        </w:rPr>
      </w:pPr>
      <w:r>
        <w:rPr>
          <w:b/>
          <w:lang w:val="uk-UA"/>
        </w:rPr>
        <w:t xml:space="preserve">Зелені зони </w:t>
      </w:r>
    </w:p>
    <w:p w:rsidR="0034450A" w:rsidRPr="00A64A46" w:rsidRDefault="00402084" w:rsidP="007C0509">
      <w:pPr>
        <w:pStyle w:val="a3"/>
        <w:numPr>
          <w:ilvl w:val="0"/>
          <w:numId w:val="28"/>
        </w:numPr>
        <w:spacing w:after="0" w:line="240" w:lineRule="auto"/>
        <w:jc w:val="both"/>
      </w:pPr>
      <w:r>
        <w:rPr>
          <w:lang w:val="uk-UA"/>
        </w:rPr>
        <w:t xml:space="preserve">Заходи в розділі </w:t>
      </w:r>
      <w:r w:rsidR="0066154F">
        <w:rPr>
          <w:lang w:val="uk-UA"/>
        </w:rPr>
        <w:t>«</w:t>
      </w:r>
      <w:r>
        <w:rPr>
          <w:lang w:val="uk-UA"/>
        </w:rPr>
        <w:t>Екологічне врядування</w:t>
      </w:r>
      <w:r w:rsidR="0066154F">
        <w:rPr>
          <w:lang w:val="uk-UA"/>
        </w:rPr>
        <w:t>»</w:t>
      </w:r>
      <w:r>
        <w:rPr>
          <w:lang w:val="uk-UA"/>
        </w:rPr>
        <w:t xml:space="preserve">, які стосуються сектору зелених зон, запропоновано перенести до </w:t>
      </w:r>
      <w:r w:rsidR="0066154F">
        <w:rPr>
          <w:lang w:val="uk-UA"/>
        </w:rPr>
        <w:t xml:space="preserve">пакету </w:t>
      </w:r>
      <w:r>
        <w:rPr>
          <w:lang w:val="uk-UA"/>
        </w:rPr>
        <w:t>заходів сектору</w:t>
      </w:r>
      <w:r w:rsidR="0066154F">
        <w:rPr>
          <w:lang w:val="uk-UA"/>
        </w:rPr>
        <w:t xml:space="preserve"> «Зелені зони»</w:t>
      </w:r>
      <w:r>
        <w:rPr>
          <w:lang w:val="uk-UA"/>
        </w:rPr>
        <w:t xml:space="preserve">. </w:t>
      </w:r>
      <w:r w:rsidR="0066154F">
        <w:rPr>
          <w:lang w:val="uk-UA"/>
        </w:rPr>
        <w:t xml:space="preserve">Запропоновано підняти рівень важливості землевпорядної документації щодо зелених зон та водоохоронних зон </w:t>
      </w:r>
      <w:r w:rsidR="00A64A46">
        <w:rPr>
          <w:lang w:val="uk-UA"/>
        </w:rPr>
        <w:t>(також цю тему обговорювали у групі сектору «Вода»).</w:t>
      </w:r>
    </w:p>
    <w:p w:rsidR="00CD5375" w:rsidRPr="00CD5375" w:rsidRDefault="00291368" w:rsidP="007C0509">
      <w:pPr>
        <w:pStyle w:val="a3"/>
        <w:numPr>
          <w:ilvl w:val="0"/>
          <w:numId w:val="28"/>
        </w:numPr>
        <w:spacing w:after="0" w:line="240" w:lineRule="auto"/>
        <w:jc w:val="both"/>
      </w:pPr>
      <w:r>
        <w:rPr>
          <w:lang w:val="uk-UA"/>
        </w:rPr>
        <w:t xml:space="preserve">Запропоновано окремі заходи як-то розробка керівництва з отримання дозволів на обрізку дерев,  </w:t>
      </w:r>
      <w:r w:rsidR="00D36696">
        <w:rPr>
          <w:lang w:val="uk-UA"/>
        </w:rPr>
        <w:t xml:space="preserve">оприлюднення інформації </w:t>
      </w:r>
      <w:r w:rsidR="009D3C70">
        <w:rPr>
          <w:lang w:val="uk-UA"/>
        </w:rPr>
        <w:t xml:space="preserve">щодо дозволів </w:t>
      </w:r>
      <w:r w:rsidR="00CD5375">
        <w:rPr>
          <w:lang w:val="uk-UA"/>
        </w:rPr>
        <w:t>на обрізку дерев, перелік рекомендацій щодо змін, необхідних у законодавстві на національному рівні (на основі уроків, отриманих під час розроблення ПДЗМ) та адвокація таких змін тощо</w:t>
      </w:r>
      <w:r w:rsidR="0055421D">
        <w:rPr>
          <w:lang w:val="uk-UA"/>
        </w:rPr>
        <w:t>.</w:t>
      </w:r>
    </w:p>
    <w:p w:rsidR="0034450A" w:rsidRPr="00CD5375" w:rsidRDefault="00CD5375" w:rsidP="007C0509">
      <w:pPr>
        <w:pStyle w:val="a3"/>
        <w:numPr>
          <w:ilvl w:val="0"/>
          <w:numId w:val="28"/>
        </w:numPr>
        <w:spacing w:after="0" w:line="240" w:lineRule="auto"/>
        <w:jc w:val="both"/>
      </w:pPr>
      <w:r>
        <w:rPr>
          <w:lang w:val="uk-UA"/>
        </w:rPr>
        <w:t>Запропоновано залучити представників громадських організацій та інших представників громадськості до моніторингу впровадження ПДЗМ (напр., створення координаційної / наглядової ради)</w:t>
      </w:r>
      <w:r w:rsidR="0034450A" w:rsidRPr="00CD5375">
        <w:t xml:space="preserve">. </w:t>
      </w:r>
    </w:p>
    <w:p w:rsidR="0058467B" w:rsidRDefault="0058467B" w:rsidP="007C0509">
      <w:pPr>
        <w:spacing w:after="0" w:line="240" w:lineRule="auto"/>
        <w:jc w:val="both"/>
        <w:rPr>
          <w:b/>
          <w:lang w:val="uk-UA"/>
        </w:rPr>
      </w:pPr>
    </w:p>
    <w:p w:rsidR="005316C8" w:rsidRPr="00970D64" w:rsidRDefault="00CD5375" w:rsidP="007C0509">
      <w:pPr>
        <w:spacing w:after="0" w:line="240" w:lineRule="auto"/>
        <w:jc w:val="both"/>
        <w:rPr>
          <w:b/>
          <w:lang w:val="en-GB"/>
        </w:rPr>
      </w:pPr>
      <w:bookmarkStart w:id="0" w:name="_GoBack"/>
      <w:bookmarkEnd w:id="0"/>
      <w:r>
        <w:rPr>
          <w:b/>
          <w:lang w:val="uk-UA"/>
        </w:rPr>
        <w:t xml:space="preserve">Енергетика </w:t>
      </w:r>
    </w:p>
    <w:p w:rsidR="00970D64" w:rsidRPr="00970D64" w:rsidRDefault="00CD5375" w:rsidP="007C0509">
      <w:pPr>
        <w:pStyle w:val="a3"/>
        <w:numPr>
          <w:ilvl w:val="0"/>
          <w:numId w:val="28"/>
        </w:numPr>
        <w:spacing w:after="0" w:line="240" w:lineRule="auto"/>
        <w:jc w:val="both"/>
        <w:rPr>
          <w:lang w:val="en-GB"/>
        </w:rPr>
      </w:pPr>
      <w:r>
        <w:rPr>
          <w:lang w:val="uk-UA"/>
        </w:rPr>
        <w:t>Запропоновано</w:t>
      </w:r>
      <w:r w:rsidR="00970D64">
        <w:rPr>
          <w:lang w:val="en-GB"/>
        </w:rPr>
        <w:t>:</w:t>
      </w:r>
    </w:p>
    <w:p w:rsidR="005316C8" w:rsidRPr="001603C2" w:rsidRDefault="001603C2" w:rsidP="007C0509">
      <w:pPr>
        <w:pStyle w:val="a3"/>
        <w:numPr>
          <w:ilvl w:val="1"/>
          <w:numId w:val="28"/>
        </w:numPr>
        <w:spacing w:after="0" w:line="240" w:lineRule="auto"/>
        <w:ind w:left="709" w:hanging="283"/>
        <w:jc w:val="both"/>
      </w:pPr>
      <w:r>
        <w:rPr>
          <w:lang w:val="uk-UA"/>
        </w:rPr>
        <w:t>Врахувати пропозиції щодо просування інноваційних проектів (енергетичні кооперативи, вирощування біоенергетичних культур для власних потреб теплопостачальних компаній)</w:t>
      </w:r>
      <w:r w:rsidR="005316C8" w:rsidRPr="001603C2">
        <w:t>.</w:t>
      </w:r>
    </w:p>
    <w:p w:rsidR="005316C8" w:rsidRPr="00063744" w:rsidRDefault="001603C2" w:rsidP="007C0509">
      <w:pPr>
        <w:pStyle w:val="a3"/>
        <w:numPr>
          <w:ilvl w:val="1"/>
          <w:numId w:val="28"/>
        </w:numPr>
        <w:spacing w:after="0" w:line="240" w:lineRule="auto"/>
        <w:ind w:left="709" w:hanging="283"/>
        <w:jc w:val="both"/>
      </w:pPr>
      <w:r>
        <w:rPr>
          <w:lang w:val="uk-UA"/>
        </w:rPr>
        <w:t>Врахувати поточний поступ у розробці схеми теплопостачання у місті Хмельницькому (</w:t>
      </w:r>
      <w:r w:rsidR="00063744">
        <w:rPr>
          <w:lang w:val="uk-UA"/>
        </w:rPr>
        <w:t>П</w:t>
      </w:r>
      <w:r>
        <w:rPr>
          <w:lang w:val="uk-UA"/>
        </w:rPr>
        <w:t>ро</w:t>
      </w:r>
      <w:r w:rsidR="00063744">
        <w:rPr>
          <w:lang w:val="uk-UA"/>
        </w:rPr>
        <w:t>є</w:t>
      </w:r>
      <w:r>
        <w:rPr>
          <w:lang w:val="uk-UA"/>
        </w:rPr>
        <w:t>кт з енерг</w:t>
      </w:r>
      <w:r w:rsidR="00063744">
        <w:rPr>
          <w:lang w:val="uk-UA"/>
        </w:rPr>
        <w:t>е</w:t>
      </w:r>
      <w:r>
        <w:rPr>
          <w:lang w:val="uk-UA"/>
        </w:rPr>
        <w:t>тичн</w:t>
      </w:r>
      <w:r w:rsidR="00063744">
        <w:rPr>
          <w:lang w:val="uk-UA"/>
        </w:rPr>
        <w:t>ої</w:t>
      </w:r>
      <w:r>
        <w:rPr>
          <w:lang w:val="uk-UA"/>
        </w:rPr>
        <w:t xml:space="preserve"> безпеки за підтримки </w:t>
      </w:r>
      <w:r w:rsidR="005316C8" w:rsidRPr="00970D64">
        <w:rPr>
          <w:lang w:val="en-GB"/>
        </w:rPr>
        <w:t>USAID</w:t>
      </w:r>
      <w:r w:rsidR="005316C8" w:rsidRPr="00063744">
        <w:t>)</w:t>
      </w:r>
      <w:r w:rsidR="00EE32F4" w:rsidRPr="00063744">
        <w:t xml:space="preserve">, </w:t>
      </w:r>
      <w:r w:rsidR="00063744">
        <w:rPr>
          <w:lang w:val="uk-UA"/>
        </w:rPr>
        <w:t xml:space="preserve">а також взяти до уваги заплановане </w:t>
      </w:r>
      <w:r w:rsidR="00385818">
        <w:rPr>
          <w:lang w:val="uk-UA"/>
        </w:rPr>
        <w:t>об’єднання</w:t>
      </w:r>
      <w:r w:rsidR="00063744">
        <w:rPr>
          <w:lang w:val="uk-UA"/>
        </w:rPr>
        <w:t xml:space="preserve"> теплопостачальних компаній, напрямки модернізації обладнання, пріоритетність таких заходів для фінансування)</w:t>
      </w:r>
      <w:r w:rsidR="005316C8" w:rsidRPr="00063744">
        <w:t>.</w:t>
      </w:r>
    </w:p>
    <w:p w:rsidR="005316C8" w:rsidRPr="00063744" w:rsidRDefault="00063744" w:rsidP="007C0509">
      <w:pPr>
        <w:pStyle w:val="a3"/>
        <w:numPr>
          <w:ilvl w:val="1"/>
          <w:numId w:val="28"/>
        </w:numPr>
        <w:spacing w:after="0" w:line="240" w:lineRule="auto"/>
        <w:ind w:left="709" w:hanging="283"/>
        <w:jc w:val="both"/>
      </w:pPr>
      <w:r>
        <w:rPr>
          <w:lang w:val="uk-UA"/>
        </w:rPr>
        <w:t xml:space="preserve">Знайти відповідний формат співпраці між Хмельницькобленерго та комунальними організаціями міста у сфері можливих </w:t>
      </w:r>
      <w:r w:rsidR="00086001">
        <w:rPr>
          <w:lang w:val="uk-UA"/>
        </w:rPr>
        <w:t xml:space="preserve">компенсацій </w:t>
      </w:r>
      <w:r w:rsidR="00385818">
        <w:rPr>
          <w:lang w:val="uk-UA"/>
        </w:rPr>
        <w:t>щодо генерованої фотоелектричної енергії</w:t>
      </w:r>
      <w:r w:rsidR="00CF6FF3" w:rsidRPr="00063744">
        <w:t>.</w:t>
      </w:r>
    </w:p>
    <w:p w:rsidR="005316C8" w:rsidRPr="00063744" w:rsidRDefault="00063744" w:rsidP="007C0509">
      <w:pPr>
        <w:pStyle w:val="a3"/>
        <w:numPr>
          <w:ilvl w:val="0"/>
          <w:numId w:val="28"/>
        </w:numPr>
        <w:spacing w:after="0" w:line="240" w:lineRule="auto"/>
        <w:jc w:val="both"/>
      </w:pPr>
      <w:r>
        <w:rPr>
          <w:lang w:val="uk-UA"/>
        </w:rPr>
        <w:t xml:space="preserve">Торгово-промислова палата </w:t>
      </w:r>
      <w:r w:rsidR="00385818">
        <w:rPr>
          <w:lang w:val="uk-UA"/>
        </w:rPr>
        <w:t>пропрацює</w:t>
      </w:r>
      <w:r>
        <w:rPr>
          <w:lang w:val="uk-UA"/>
        </w:rPr>
        <w:t xml:space="preserve"> перелік можливих заходів з енергоефективності для промислових підприємств та може сформувати перелік місцевих компаній для можливої співпраці щодо впровадження заходів ПДЗМ.</w:t>
      </w:r>
    </w:p>
    <w:p w:rsidR="0058467B" w:rsidRDefault="0058467B" w:rsidP="007C0509">
      <w:pPr>
        <w:spacing w:after="0" w:line="240" w:lineRule="auto"/>
        <w:jc w:val="both"/>
        <w:rPr>
          <w:b/>
          <w:lang w:val="uk-UA"/>
        </w:rPr>
      </w:pPr>
    </w:p>
    <w:p w:rsidR="005316C8" w:rsidRPr="00970D64" w:rsidRDefault="00063744" w:rsidP="007C0509">
      <w:pPr>
        <w:spacing w:after="0" w:line="240" w:lineRule="auto"/>
        <w:jc w:val="both"/>
        <w:rPr>
          <w:b/>
          <w:lang w:val="en-GB"/>
        </w:rPr>
      </w:pPr>
      <w:r>
        <w:rPr>
          <w:b/>
          <w:lang w:val="uk-UA"/>
        </w:rPr>
        <w:t>Вода</w:t>
      </w:r>
      <w:r w:rsidR="005316C8" w:rsidRPr="00970D64">
        <w:rPr>
          <w:b/>
          <w:lang w:val="en-GB"/>
        </w:rPr>
        <w:t xml:space="preserve"> </w:t>
      </w:r>
    </w:p>
    <w:p w:rsidR="008668CD" w:rsidRPr="00063744" w:rsidRDefault="00063744" w:rsidP="007C0509">
      <w:pPr>
        <w:pStyle w:val="a3"/>
        <w:numPr>
          <w:ilvl w:val="0"/>
          <w:numId w:val="28"/>
        </w:numPr>
        <w:spacing w:after="0" w:line="240" w:lineRule="auto"/>
        <w:jc w:val="both"/>
      </w:pPr>
      <w:r>
        <w:rPr>
          <w:lang w:val="uk-UA"/>
        </w:rPr>
        <w:t>Запропоновано включити наступні заходи</w:t>
      </w:r>
      <w:r w:rsidR="008668CD" w:rsidRPr="00063744">
        <w:t>:</w:t>
      </w:r>
    </w:p>
    <w:p w:rsidR="008668CD" w:rsidRPr="00063744" w:rsidRDefault="00063744" w:rsidP="007C0509">
      <w:pPr>
        <w:pStyle w:val="a3"/>
        <w:numPr>
          <w:ilvl w:val="1"/>
          <w:numId w:val="28"/>
        </w:numPr>
        <w:spacing w:after="0" w:line="240" w:lineRule="auto"/>
        <w:ind w:left="567" w:hanging="283"/>
        <w:jc w:val="both"/>
      </w:pPr>
      <w:r>
        <w:rPr>
          <w:lang w:val="uk-UA"/>
        </w:rPr>
        <w:lastRenderedPageBreak/>
        <w:t xml:space="preserve">Моніторинг місцевих водних об’єктів </w:t>
      </w:r>
      <w:r w:rsidR="005316C8" w:rsidRPr="00063744">
        <w:t>(</w:t>
      </w:r>
      <w:r>
        <w:rPr>
          <w:lang w:val="uk-UA"/>
        </w:rPr>
        <w:t xml:space="preserve">річки Південний Буг, </w:t>
      </w:r>
      <w:proofErr w:type="spellStart"/>
      <w:r>
        <w:rPr>
          <w:lang w:val="uk-UA"/>
        </w:rPr>
        <w:t>Кудрянка</w:t>
      </w:r>
      <w:proofErr w:type="spellEnd"/>
      <w:r>
        <w:rPr>
          <w:lang w:val="uk-UA"/>
        </w:rPr>
        <w:t>, Плоска</w:t>
      </w:r>
      <w:r w:rsidR="005316C8" w:rsidRPr="00063744">
        <w:t xml:space="preserve">) </w:t>
      </w:r>
      <w:r>
        <w:rPr>
          <w:lang w:val="uk-UA"/>
        </w:rPr>
        <w:t>та оприлюднення інформації щодо їхнього стану на міс</w:t>
      </w:r>
      <w:r w:rsidR="00385818">
        <w:rPr>
          <w:lang w:val="uk-UA"/>
        </w:rPr>
        <w:t>ь</w:t>
      </w:r>
      <w:r>
        <w:rPr>
          <w:lang w:val="uk-UA"/>
        </w:rPr>
        <w:t>кому веб порталі</w:t>
      </w:r>
      <w:r w:rsidR="00905836" w:rsidRPr="00063744">
        <w:t>;</w:t>
      </w:r>
      <w:r w:rsidR="008668CD" w:rsidRPr="00063744">
        <w:t xml:space="preserve"> </w:t>
      </w:r>
    </w:p>
    <w:p w:rsidR="005316C8" w:rsidRPr="00FD5B9E" w:rsidRDefault="00FD5B9E" w:rsidP="007C0509">
      <w:pPr>
        <w:pStyle w:val="a3"/>
        <w:numPr>
          <w:ilvl w:val="1"/>
          <w:numId w:val="28"/>
        </w:numPr>
        <w:spacing w:after="0" w:line="240" w:lineRule="auto"/>
        <w:ind w:left="567" w:hanging="283"/>
        <w:jc w:val="both"/>
      </w:pPr>
      <w:r>
        <w:rPr>
          <w:lang w:val="uk-UA"/>
        </w:rPr>
        <w:t xml:space="preserve">Закупівля аналітичного обладнання для лабораторії </w:t>
      </w:r>
      <w:r w:rsidR="00385818">
        <w:rPr>
          <w:lang w:val="uk-UA"/>
        </w:rPr>
        <w:t>КП «</w:t>
      </w:r>
      <w:r>
        <w:rPr>
          <w:lang w:val="uk-UA"/>
        </w:rPr>
        <w:t>Хмельницьквод</w:t>
      </w:r>
      <w:r w:rsidR="00385818">
        <w:rPr>
          <w:lang w:val="uk-UA"/>
        </w:rPr>
        <w:t>о</w:t>
      </w:r>
      <w:r>
        <w:rPr>
          <w:lang w:val="uk-UA"/>
        </w:rPr>
        <w:t>канал</w:t>
      </w:r>
      <w:r w:rsidR="00385818">
        <w:rPr>
          <w:lang w:val="uk-UA"/>
        </w:rPr>
        <w:t>»</w:t>
      </w:r>
      <w:r>
        <w:rPr>
          <w:lang w:val="uk-UA"/>
        </w:rPr>
        <w:t xml:space="preserve"> для аналізу якості стічних вод </w:t>
      </w:r>
      <w:r w:rsidR="005316C8" w:rsidRPr="00FD5B9E">
        <w:t>(</w:t>
      </w:r>
      <w:proofErr w:type="spellStart"/>
      <w:r>
        <w:rPr>
          <w:lang w:val="uk-UA"/>
        </w:rPr>
        <w:t>в</w:t>
      </w:r>
      <w:r w:rsidR="00086001">
        <w:rPr>
          <w:lang w:val="uk-UA"/>
        </w:rPr>
        <w:t>кл</w:t>
      </w:r>
      <w:proofErr w:type="spellEnd"/>
      <w:r w:rsidR="00086001">
        <w:rPr>
          <w:lang w:val="uk-UA"/>
        </w:rPr>
        <w:t>.</w:t>
      </w:r>
      <w:r>
        <w:rPr>
          <w:lang w:val="uk-UA"/>
        </w:rPr>
        <w:t xml:space="preserve"> пріоритетні параметри та </w:t>
      </w:r>
      <w:r w:rsidR="00086001">
        <w:rPr>
          <w:lang w:val="uk-UA"/>
        </w:rPr>
        <w:t xml:space="preserve">специфічні </w:t>
      </w:r>
      <w:r>
        <w:rPr>
          <w:lang w:val="uk-UA"/>
        </w:rPr>
        <w:t xml:space="preserve">параметри </w:t>
      </w:r>
      <w:r w:rsidR="00086001">
        <w:rPr>
          <w:lang w:val="uk-UA"/>
        </w:rPr>
        <w:t>басейну</w:t>
      </w:r>
      <w:r w:rsidR="005316C8" w:rsidRPr="00FD5B9E">
        <w:t>)</w:t>
      </w:r>
      <w:r w:rsidR="00905836" w:rsidRPr="00FD5B9E">
        <w:t>;</w:t>
      </w:r>
    </w:p>
    <w:p w:rsidR="008668CD" w:rsidRPr="00086001" w:rsidRDefault="00EE5FC3" w:rsidP="007C0509">
      <w:pPr>
        <w:pStyle w:val="a3"/>
        <w:numPr>
          <w:ilvl w:val="1"/>
          <w:numId w:val="28"/>
        </w:numPr>
        <w:spacing w:after="0" w:line="240" w:lineRule="auto"/>
        <w:ind w:left="567" w:hanging="283"/>
        <w:jc w:val="both"/>
      </w:pPr>
      <w:r>
        <w:rPr>
          <w:lang w:val="uk-UA"/>
        </w:rPr>
        <w:t xml:space="preserve">Нове будівництво </w:t>
      </w:r>
      <w:r w:rsidR="00086001">
        <w:rPr>
          <w:lang w:val="uk-UA"/>
        </w:rPr>
        <w:t>очисних споруд потужністю</w:t>
      </w:r>
      <w:r w:rsidR="005316C8" w:rsidRPr="006E40EE">
        <w:rPr>
          <w:lang w:val="en-GB"/>
        </w:rPr>
        <w:t> </w:t>
      </w:r>
      <w:r w:rsidR="005316C8" w:rsidRPr="00086001">
        <w:t>60</w:t>
      </w:r>
      <w:r w:rsidR="005316C8" w:rsidRPr="006E40EE">
        <w:rPr>
          <w:lang w:val="en-GB"/>
        </w:rPr>
        <w:t> </w:t>
      </w:r>
      <w:r w:rsidR="00086001">
        <w:rPr>
          <w:lang w:val="uk-UA"/>
        </w:rPr>
        <w:t>м</w:t>
      </w:r>
      <w:r w:rsidR="005316C8" w:rsidRPr="00086001">
        <w:t>3/</w:t>
      </w:r>
      <w:r w:rsidR="00086001">
        <w:rPr>
          <w:lang w:val="uk-UA"/>
        </w:rPr>
        <w:t>день</w:t>
      </w:r>
      <w:r w:rsidR="005316C8" w:rsidRPr="006E40EE">
        <w:rPr>
          <w:lang w:val="en-GB"/>
        </w:rPr>
        <w:t> </w:t>
      </w:r>
      <w:r w:rsidR="00086001">
        <w:rPr>
          <w:lang w:val="uk-UA"/>
        </w:rPr>
        <w:t xml:space="preserve">на базі існуючих очисних споруд </w:t>
      </w:r>
      <w:r w:rsidR="001F75ED">
        <w:rPr>
          <w:lang w:val="uk-UA"/>
        </w:rPr>
        <w:t>№</w:t>
      </w:r>
      <w:r w:rsidR="00086001">
        <w:rPr>
          <w:lang w:val="uk-UA"/>
        </w:rPr>
        <w:t>2</w:t>
      </w:r>
      <w:r w:rsidR="005316C8" w:rsidRPr="00086001">
        <w:t xml:space="preserve">. </w:t>
      </w:r>
    </w:p>
    <w:p w:rsidR="005316C8" w:rsidRPr="00086001" w:rsidRDefault="00086001" w:rsidP="007C0509">
      <w:pPr>
        <w:pStyle w:val="a3"/>
        <w:numPr>
          <w:ilvl w:val="0"/>
          <w:numId w:val="28"/>
        </w:numPr>
        <w:spacing w:after="0" w:line="240" w:lineRule="auto"/>
        <w:jc w:val="both"/>
      </w:pPr>
      <w:r>
        <w:rPr>
          <w:lang w:val="uk-UA"/>
        </w:rPr>
        <w:t>Додатково до очистки води, пропонується також обробка осаду та зневоднення</w:t>
      </w:r>
      <w:r w:rsidR="005316C8" w:rsidRPr="00086001">
        <w:t>.</w:t>
      </w:r>
    </w:p>
    <w:p w:rsidR="005316C8" w:rsidRPr="00970D64" w:rsidRDefault="00063744" w:rsidP="007C0509">
      <w:pPr>
        <w:spacing w:after="0" w:line="240" w:lineRule="auto"/>
        <w:jc w:val="both"/>
        <w:rPr>
          <w:b/>
          <w:lang w:val="en-GB"/>
        </w:rPr>
      </w:pPr>
      <w:r>
        <w:rPr>
          <w:b/>
          <w:lang w:val="uk-UA"/>
        </w:rPr>
        <w:t>ТПВ</w:t>
      </w:r>
      <w:r w:rsidR="005316C8" w:rsidRPr="00970D64">
        <w:rPr>
          <w:b/>
          <w:lang w:val="en-GB"/>
        </w:rPr>
        <w:t xml:space="preserve"> </w:t>
      </w:r>
    </w:p>
    <w:p w:rsidR="005316C8" w:rsidRPr="001F75ED" w:rsidRDefault="00CF3DA5" w:rsidP="007C0509">
      <w:pPr>
        <w:pStyle w:val="a3"/>
        <w:numPr>
          <w:ilvl w:val="0"/>
          <w:numId w:val="28"/>
        </w:numPr>
        <w:spacing w:after="0" w:line="240" w:lineRule="auto"/>
        <w:jc w:val="both"/>
        <w:rPr>
          <w:lang w:val="en-GB"/>
        </w:rPr>
      </w:pPr>
      <w:r>
        <w:rPr>
          <w:lang w:val="uk-UA"/>
        </w:rPr>
        <w:t>У заходах сектору</w:t>
      </w:r>
      <w:r w:rsidR="001F75ED">
        <w:rPr>
          <w:lang w:val="uk-UA"/>
        </w:rPr>
        <w:t xml:space="preserve"> «Відходи»</w:t>
      </w:r>
      <w:r>
        <w:rPr>
          <w:lang w:val="uk-UA"/>
        </w:rPr>
        <w:t xml:space="preserve"> бракує просвітницьких кампаній з підвищення обізнаності та заходів з запобігання утворенню відходів </w:t>
      </w:r>
    </w:p>
    <w:p w:rsidR="005316C8" w:rsidRPr="00CF3DA5" w:rsidRDefault="00CF3DA5" w:rsidP="007C0509">
      <w:pPr>
        <w:pStyle w:val="a3"/>
        <w:numPr>
          <w:ilvl w:val="0"/>
          <w:numId w:val="28"/>
        </w:numPr>
        <w:spacing w:after="0" w:line="240" w:lineRule="auto"/>
        <w:jc w:val="both"/>
      </w:pPr>
      <w:r>
        <w:rPr>
          <w:lang w:val="uk-UA"/>
        </w:rPr>
        <w:t xml:space="preserve">Запропоновані заходи потрібно уточнити кількісними показниками (напр., заміна сміттєвозів, </w:t>
      </w:r>
      <w:r w:rsidR="005316C8" w:rsidRPr="006E40EE">
        <w:rPr>
          <w:lang w:val="en-GB"/>
        </w:rPr>
        <w:t>xxx</w:t>
      </w:r>
      <w:r w:rsidR="005316C8" w:rsidRPr="00CF3DA5">
        <w:t xml:space="preserve"> </w:t>
      </w:r>
      <w:r>
        <w:rPr>
          <w:lang w:val="uk-UA"/>
        </w:rPr>
        <w:t>одиниць</w:t>
      </w:r>
      <w:r w:rsidR="005316C8" w:rsidRPr="00CF3DA5">
        <w:t>)</w:t>
      </w:r>
    </w:p>
    <w:p w:rsidR="005316C8" w:rsidRPr="00CF3DA5" w:rsidRDefault="00CF3DA5" w:rsidP="007C0509">
      <w:pPr>
        <w:pStyle w:val="a3"/>
        <w:numPr>
          <w:ilvl w:val="0"/>
          <w:numId w:val="28"/>
        </w:numPr>
        <w:spacing w:after="0" w:line="240" w:lineRule="auto"/>
        <w:jc w:val="both"/>
      </w:pPr>
      <w:r>
        <w:rPr>
          <w:lang w:val="uk-UA"/>
        </w:rPr>
        <w:t>Окреслено коло відповідальних організацій та потенційних виконавців заходів, обговорено відповідні соціальні та гендерні аспекти</w:t>
      </w:r>
    </w:p>
    <w:p w:rsidR="005316C8" w:rsidRPr="00CF3DA5" w:rsidRDefault="00CF3DA5" w:rsidP="007C0509">
      <w:pPr>
        <w:pStyle w:val="a3"/>
        <w:numPr>
          <w:ilvl w:val="0"/>
          <w:numId w:val="28"/>
        </w:numPr>
        <w:spacing w:after="0" w:line="240" w:lineRule="auto"/>
        <w:jc w:val="both"/>
      </w:pPr>
      <w:r>
        <w:rPr>
          <w:lang w:val="uk-UA"/>
        </w:rPr>
        <w:t>Міська ради має визначитись чи потрібно визначати кількісні цільові показники на цьому етапі, яким чином вони бачать політичні заходи та з</w:t>
      </w:r>
      <w:r w:rsidR="001F75ED">
        <w:rPr>
          <w:lang w:val="uk-UA"/>
        </w:rPr>
        <w:t>аходи з</w:t>
      </w:r>
      <w:r>
        <w:rPr>
          <w:lang w:val="uk-UA"/>
        </w:rPr>
        <w:t xml:space="preserve"> підвищення обізнаності та рівень їх деталізації у ПДЗМ.</w:t>
      </w:r>
    </w:p>
    <w:p w:rsidR="00987A8D" w:rsidRPr="00970D64" w:rsidRDefault="00CF3DA5" w:rsidP="007C0509">
      <w:pPr>
        <w:spacing w:after="0" w:line="240" w:lineRule="auto"/>
        <w:jc w:val="both"/>
        <w:rPr>
          <w:b/>
          <w:lang w:val="en-GB"/>
        </w:rPr>
      </w:pPr>
      <w:r>
        <w:rPr>
          <w:b/>
          <w:lang w:val="uk-UA"/>
        </w:rPr>
        <w:t>Транспорт</w:t>
      </w:r>
    </w:p>
    <w:p w:rsidR="007263F5" w:rsidRPr="00611347" w:rsidRDefault="00CF3DA5" w:rsidP="007C0509">
      <w:pPr>
        <w:pStyle w:val="a3"/>
        <w:numPr>
          <w:ilvl w:val="0"/>
          <w:numId w:val="28"/>
        </w:numPr>
        <w:spacing w:after="0" w:line="240" w:lineRule="auto"/>
        <w:jc w:val="both"/>
        <w:rPr>
          <w:lang w:val="uk-UA"/>
        </w:rPr>
      </w:pPr>
      <w:r>
        <w:rPr>
          <w:lang w:val="uk-UA"/>
        </w:rPr>
        <w:t xml:space="preserve">Обговорення в групі було ефективним та плідним. Багато питань було задано представникам міської влади. Відповіді управління транспорту та </w:t>
      </w:r>
      <w:r w:rsidR="00A82EB7">
        <w:rPr>
          <w:lang w:val="uk-UA"/>
        </w:rPr>
        <w:t>зв’язку</w:t>
      </w:r>
      <w:r>
        <w:rPr>
          <w:lang w:val="uk-UA"/>
        </w:rPr>
        <w:t xml:space="preserve"> були конкретними та </w:t>
      </w:r>
      <w:r w:rsidR="001F75ED">
        <w:rPr>
          <w:lang w:val="uk-UA"/>
        </w:rPr>
        <w:t>заохочувальними</w:t>
      </w:r>
      <w:r w:rsidR="007263F5" w:rsidRPr="00CF3DA5">
        <w:rPr>
          <w:lang w:val="uk-UA"/>
        </w:rPr>
        <w:t xml:space="preserve">. </w:t>
      </w:r>
      <w:r>
        <w:rPr>
          <w:lang w:val="uk-UA"/>
        </w:rPr>
        <w:t xml:space="preserve"> Учасники отримали інформацію щодо підписаної угоди на </w:t>
      </w:r>
      <w:r w:rsidR="00611347">
        <w:rPr>
          <w:lang w:val="uk-UA"/>
        </w:rPr>
        <w:t>кредит для</w:t>
      </w:r>
      <w:r>
        <w:rPr>
          <w:lang w:val="uk-UA"/>
        </w:rPr>
        <w:t xml:space="preserve"> </w:t>
      </w:r>
      <w:r w:rsidR="00611347">
        <w:rPr>
          <w:lang w:val="uk-UA"/>
        </w:rPr>
        <w:t>оновлення міського тролейбусного парку 100 одиницями нових тролейбусів</w:t>
      </w:r>
      <w:r w:rsidR="007263F5" w:rsidRPr="00611347">
        <w:rPr>
          <w:lang w:val="uk-UA"/>
        </w:rPr>
        <w:t xml:space="preserve">, </w:t>
      </w:r>
      <w:r w:rsidR="00611347">
        <w:rPr>
          <w:lang w:val="uk-UA"/>
        </w:rPr>
        <w:t>плану реновації автобусних зупинок</w:t>
      </w:r>
      <w:r w:rsidR="007263F5" w:rsidRPr="00611347">
        <w:rPr>
          <w:lang w:val="uk-UA"/>
        </w:rPr>
        <w:t xml:space="preserve">, </w:t>
      </w:r>
      <w:r w:rsidR="00611347">
        <w:rPr>
          <w:lang w:val="uk-UA"/>
        </w:rPr>
        <w:t>заміни парку старих автобусів на нові</w:t>
      </w:r>
      <w:r w:rsidR="00905836" w:rsidRPr="00611347">
        <w:rPr>
          <w:lang w:val="uk-UA"/>
        </w:rPr>
        <w:t xml:space="preserve">, </w:t>
      </w:r>
      <w:r w:rsidR="00611347">
        <w:rPr>
          <w:lang w:val="uk-UA"/>
        </w:rPr>
        <w:t>встановлен</w:t>
      </w:r>
      <w:r w:rsidR="001F75ED">
        <w:rPr>
          <w:lang w:val="uk-UA"/>
        </w:rPr>
        <w:t>их</w:t>
      </w:r>
      <w:r w:rsidR="00611347">
        <w:rPr>
          <w:lang w:val="uk-UA"/>
        </w:rPr>
        <w:t xml:space="preserve"> в міських тролейбусах банківськ</w:t>
      </w:r>
      <w:r w:rsidR="001F75ED">
        <w:rPr>
          <w:lang w:val="uk-UA"/>
        </w:rPr>
        <w:t>их</w:t>
      </w:r>
      <w:r w:rsidR="00611347">
        <w:rPr>
          <w:lang w:val="uk-UA"/>
        </w:rPr>
        <w:t xml:space="preserve"> термінал</w:t>
      </w:r>
      <w:r w:rsidR="001F75ED">
        <w:rPr>
          <w:lang w:val="uk-UA"/>
        </w:rPr>
        <w:t>ів</w:t>
      </w:r>
      <w:r w:rsidR="00611347">
        <w:rPr>
          <w:lang w:val="uk-UA"/>
        </w:rPr>
        <w:t xml:space="preserve"> тощо</w:t>
      </w:r>
      <w:r w:rsidR="007263F5" w:rsidRPr="00611347">
        <w:rPr>
          <w:lang w:val="uk-UA"/>
        </w:rPr>
        <w:t>.</w:t>
      </w:r>
    </w:p>
    <w:p w:rsidR="007263F5" w:rsidRPr="00683793" w:rsidRDefault="009A44E8" w:rsidP="007C0509">
      <w:pPr>
        <w:pStyle w:val="a3"/>
        <w:numPr>
          <w:ilvl w:val="0"/>
          <w:numId w:val="28"/>
        </w:numPr>
        <w:spacing w:after="0" w:line="240" w:lineRule="auto"/>
        <w:jc w:val="both"/>
        <w:rPr>
          <w:lang w:val="uk-UA"/>
        </w:rPr>
      </w:pPr>
      <w:r>
        <w:rPr>
          <w:lang w:val="uk-UA"/>
        </w:rPr>
        <w:t xml:space="preserve">Під час обговорень </w:t>
      </w:r>
      <w:r w:rsidR="00683793">
        <w:rPr>
          <w:lang w:val="uk-UA"/>
        </w:rPr>
        <w:t xml:space="preserve">учасникам нагадали про гендерні та соціальні проблеми, на кшталт </w:t>
      </w:r>
      <w:r w:rsidR="001F75ED">
        <w:rPr>
          <w:lang w:val="uk-UA"/>
        </w:rPr>
        <w:t>відсутності</w:t>
      </w:r>
      <w:r w:rsidR="00683793">
        <w:rPr>
          <w:lang w:val="uk-UA"/>
        </w:rPr>
        <w:t xml:space="preserve"> нічного транспорту, браку сучасних автобусів та тролейбусів, облаштованих для людей з особливими потребами, ж</w:t>
      </w:r>
      <w:r w:rsidR="00B64FA6">
        <w:rPr>
          <w:lang w:val="uk-UA"/>
        </w:rPr>
        <w:t>інок з дитячими візочками тощо; учасники погодились з важливістю цих питань та необхідністю врахування у заходах</w:t>
      </w:r>
      <w:r w:rsidR="00444885" w:rsidRPr="00683793">
        <w:rPr>
          <w:lang w:val="uk-UA"/>
        </w:rPr>
        <w:t xml:space="preserve">. </w:t>
      </w:r>
    </w:p>
    <w:p w:rsidR="00444885" w:rsidRPr="00312C1D" w:rsidRDefault="00B64FA6" w:rsidP="007C0509">
      <w:pPr>
        <w:pStyle w:val="a3"/>
        <w:numPr>
          <w:ilvl w:val="0"/>
          <w:numId w:val="28"/>
        </w:numPr>
        <w:spacing w:after="0" w:line="240" w:lineRule="auto"/>
        <w:jc w:val="both"/>
        <w:rPr>
          <w:lang w:val="uk-UA"/>
        </w:rPr>
      </w:pPr>
      <w:r>
        <w:rPr>
          <w:lang w:val="uk-UA"/>
        </w:rPr>
        <w:t xml:space="preserve">Серед іншого обговорені проблеми з доступом до інформації щодо громадського транспорту в режимі реального часу, потреби у зміні умов доступу до публічної інформації у форматі відкритих даних, </w:t>
      </w:r>
      <w:r w:rsidR="00312C1D">
        <w:rPr>
          <w:lang w:val="uk-UA"/>
        </w:rPr>
        <w:t xml:space="preserve">використання валідаторів </w:t>
      </w:r>
      <w:r w:rsidR="00390E79">
        <w:rPr>
          <w:lang w:val="uk-UA"/>
        </w:rPr>
        <w:t>або терміналів в усіх видах громадського транспорту, діджиталізація процесу оплати послуг проїзду пасажирами</w:t>
      </w:r>
      <w:r w:rsidR="00412D7C">
        <w:rPr>
          <w:lang w:val="uk-UA"/>
        </w:rPr>
        <w:t xml:space="preserve">, що дозволить </w:t>
      </w:r>
      <w:r w:rsidR="001F75ED">
        <w:rPr>
          <w:lang w:val="uk-UA"/>
        </w:rPr>
        <w:t xml:space="preserve">відслідковування </w:t>
      </w:r>
      <w:r w:rsidR="00412D7C">
        <w:rPr>
          <w:lang w:val="uk-UA"/>
        </w:rPr>
        <w:t>реальн</w:t>
      </w:r>
      <w:r w:rsidR="001F75ED">
        <w:rPr>
          <w:lang w:val="uk-UA"/>
        </w:rPr>
        <w:t>ого</w:t>
      </w:r>
      <w:r w:rsidR="00412D7C">
        <w:rPr>
          <w:lang w:val="uk-UA"/>
        </w:rPr>
        <w:t xml:space="preserve"> пасажиропот</w:t>
      </w:r>
      <w:r w:rsidR="001F75ED">
        <w:rPr>
          <w:lang w:val="uk-UA"/>
        </w:rPr>
        <w:t>оку</w:t>
      </w:r>
      <w:r w:rsidR="00412D7C">
        <w:rPr>
          <w:lang w:val="uk-UA"/>
        </w:rPr>
        <w:t xml:space="preserve"> в місті, необхідність видалити пропозиції щодо трамваїв як нереальні для міста тощо.</w:t>
      </w:r>
      <w:r w:rsidR="009F6D72" w:rsidRPr="00312C1D">
        <w:rPr>
          <w:lang w:val="uk-UA"/>
        </w:rPr>
        <w:t xml:space="preserve"> </w:t>
      </w:r>
    </w:p>
    <w:p w:rsidR="009E178D" w:rsidRDefault="00412D7C" w:rsidP="007C0509">
      <w:pPr>
        <w:spacing w:after="0" w:line="240" w:lineRule="auto"/>
        <w:jc w:val="both"/>
        <w:rPr>
          <w:b/>
        </w:rPr>
      </w:pPr>
      <w:r>
        <w:rPr>
          <w:b/>
          <w:lang w:val="uk-UA"/>
        </w:rPr>
        <w:t xml:space="preserve">Англомовна група </w:t>
      </w:r>
    </w:p>
    <w:p w:rsidR="00412D7C" w:rsidRPr="00D13FE5" w:rsidRDefault="001F75ED" w:rsidP="007C0509">
      <w:pPr>
        <w:pStyle w:val="a3"/>
        <w:numPr>
          <w:ilvl w:val="0"/>
          <w:numId w:val="28"/>
        </w:numPr>
        <w:spacing w:after="0" w:line="240" w:lineRule="auto"/>
        <w:jc w:val="both"/>
        <w:rPr>
          <w:lang w:val="uk-UA"/>
        </w:rPr>
      </w:pPr>
      <w:r>
        <w:rPr>
          <w:lang w:val="uk-UA"/>
        </w:rPr>
        <w:t>Серед іншого з</w:t>
      </w:r>
      <w:r w:rsidR="00412D7C" w:rsidRPr="00D13FE5">
        <w:rPr>
          <w:lang w:val="uk-UA"/>
        </w:rPr>
        <w:t xml:space="preserve"> </w:t>
      </w:r>
      <w:r w:rsidR="00412D7C" w:rsidRPr="00D13FE5">
        <w:rPr>
          <w:lang w:val="uk-UA"/>
        </w:rPr>
        <w:t xml:space="preserve">різнопрофільними </w:t>
      </w:r>
      <w:r w:rsidR="00412D7C" w:rsidRPr="00D13FE5">
        <w:rPr>
          <w:lang w:val="uk-UA"/>
        </w:rPr>
        <w:t>експертами ЄБРР</w:t>
      </w:r>
      <w:r w:rsidR="00412D7C" w:rsidRPr="00D13FE5">
        <w:rPr>
          <w:lang w:val="uk-UA"/>
        </w:rPr>
        <w:t xml:space="preserve"> </w:t>
      </w:r>
      <w:r w:rsidR="00412D7C" w:rsidRPr="00D13FE5">
        <w:rPr>
          <w:lang w:val="uk-UA"/>
        </w:rPr>
        <w:t>обговор</w:t>
      </w:r>
      <w:r w:rsidR="00412D7C" w:rsidRPr="00D13FE5">
        <w:rPr>
          <w:lang w:val="uk-UA"/>
        </w:rPr>
        <w:t>ено м</w:t>
      </w:r>
      <w:r w:rsidR="00412D7C" w:rsidRPr="00D13FE5">
        <w:rPr>
          <w:lang w:val="uk-UA"/>
        </w:rPr>
        <w:t>ожливості обміну найкращими та передовими практиками, інш</w:t>
      </w:r>
      <w:r w:rsidR="00412D7C" w:rsidRPr="00D13FE5">
        <w:rPr>
          <w:lang w:val="uk-UA"/>
        </w:rPr>
        <w:t>і</w:t>
      </w:r>
      <w:r w:rsidR="00412D7C" w:rsidRPr="00D13FE5">
        <w:rPr>
          <w:lang w:val="uk-UA"/>
        </w:rPr>
        <w:t xml:space="preserve"> важлив</w:t>
      </w:r>
      <w:r w:rsidR="00412D7C" w:rsidRPr="00D13FE5">
        <w:rPr>
          <w:lang w:val="uk-UA"/>
        </w:rPr>
        <w:t>і</w:t>
      </w:r>
      <w:r w:rsidR="00412D7C" w:rsidRPr="00D13FE5">
        <w:rPr>
          <w:lang w:val="uk-UA"/>
        </w:rPr>
        <w:t xml:space="preserve"> аспект</w:t>
      </w:r>
      <w:r w:rsidR="00412D7C" w:rsidRPr="00D13FE5">
        <w:rPr>
          <w:lang w:val="uk-UA"/>
        </w:rPr>
        <w:t>и</w:t>
      </w:r>
      <w:r w:rsidR="00412D7C" w:rsidRPr="00D13FE5">
        <w:rPr>
          <w:lang w:val="uk-UA"/>
        </w:rPr>
        <w:t xml:space="preserve">, </w:t>
      </w:r>
      <w:r w:rsidR="00412D7C" w:rsidRPr="00D13FE5">
        <w:rPr>
          <w:lang w:val="uk-UA"/>
        </w:rPr>
        <w:t xml:space="preserve">як напр. </w:t>
      </w:r>
      <w:r w:rsidR="00412D7C" w:rsidRPr="00D13FE5">
        <w:rPr>
          <w:lang w:val="uk-UA"/>
        </w:rPr>
        <w:t>розумн</w:t>
      </w:r>
      <w:r w:rsidR="00412D7C" w:rsidRPr="00D13FE5">
        <w:rPr>
          <w:lang w:val="uk-UA"/>
        </w:rPr>
        <w:t xml:space="preserve">е місто, </w:t>
      </w:r>
      <w:r w:rsidR="00412D7C" w:rsidRPr="00D13FE5">
        <w:rPr>
          <w:lang w:val="uk-UA"/>
        </w:rPr>
        <w:t>тощо.</w:t>
      </w:r>
    </w:p>
    <w:p w:rsidR="00412D7C" w:rsidRPr="00D13FE5" w:rsidRDefault="0037770F" w:rsidP="007C0509">
      <w:pPr>
        <w:pStyle w:val="a3"/>
        <w:numPr>
          <w:ilvl w:val="0"/>
          <w:numId w:val="28"/>
        </w:numPr>
        <w:spacing w:after="0" w:line="240" w:lineRule="auto"/>
        <w:jc w:val="both"/>
        <w:rPr>
          <w:lang w:val="uk-UA"/>
        </w:rPr>
      </w:pPr>
      <w:r>
        <w:rPr>
          <w:lang w:val="uk-UA"/>
        </w:rPr>
        <w:t>Для к</w:t>
      </w:r>
      <w:r w:rsidR="00412D7C" w:rsidRPr="00D13FE5">
        <w:rPr>
          <w:lang w:val="uk-UA"/>
        </w:rPr>
        <w:t>оманд</w:t>
      </w:r>
      <w:r>
        <w:rPr>
          <w:lang w:val="uk-UA"/>
        </w:rPr>
        <w:t>и</w:t>
      </w:r>
      <w:r w:rsidR="00412D7C" w:rsidRPr="00D13FE5">
        <w:rPr>
          <w:lang w:val="uk-UA"/>
        </w:rPr>
        <w:t xml:space="preserve"> </w:t>
      </w:r>
      <w:r w:rsidR="000647C0">
        <w:rPr>
          <w:lang w:val="uk-UA"/>
        </w:rPr>
        <w:t xml:space="preserve">галузевих </w:t>
      </w:r>
      <w:r w:rsidR="00412D7C" w:rsidRPr="00D13FE5">
        <w:rPr>
          <w:lang w:val="uk-UA"/>
        </w:rPr>
        <w:t xml:space="preserve">експертів </w:t>
      </w:r>
      <w:r w:rsidR="000647C0">
        <w:rPr>
          <w:lang w:val="uk-UA"/>
        </w:rPr>
        <w:t xml:space="preserve">міської ради </w:t>
      </w:r>
      <w:r w:rsidR="00412D7C" w:rsidRPr="00D13FE5">
        <w:rPr>
          <w:lang w:val="uk-UA"/>
        </w:rPr>
        <w:t>мо</w:t>
      </w:r>
      <w:r w:rsidR="008E7652">
        <w:rPr>
          <w:lang w:val="uk-UA"/>
        </w:rPr>
        <w:t xml:space="preserve">жна </w:t>
      </w:r>
      <w:r w:rsidR="00412D7C" w:rsidRPr="00D13FE5">
        <w:rPr>
          <w:lang w:val="uk-UA"/>
        </w:rPr>
        <w:t>б</w:t>
      </w:r>
      <w:r w:rsidR="00420689">
        <w:rPr>
          <w:lang w:val="uk-UA"/>
        </w:rPr>
        <w:t>у</w:t>
      </w:r>
      <w:r w:rsidR="006A0B38">
        <w:rPr>
          <w:lang w:val="uk-UA"/>
        </w:rPr>
        <w:t xml:space="preserve">де провести </w:t>
      </w:r>
      <w:r w:rsidR="00412D7C" w:rsidRPr="00D13FE5">
        <w:rPr>
          <w:lang w:val="uk-UA"/>
        </w:rPr>
        <w:t xml:space="preserve">заходи </w:t>
      </w:r>
      <w:r w:rsidR="006A0B38">
        <w:rPr>
          <w:lang w:val="uk-UA"/>
        </w:rPr>
        <w:t xml:space="preserve">з </w:t>
      </w:r>
      <w:r w:rsidR="00412D7C" w:rsidRPr="00D13FE5">
        <w:rPr>
          <w:lang w:val="uk-UA"/>
        </w:rPr>
        <w:t xml:space="preserve">розбудови потенціалу </w:t>
      </w:r>
      <w:r w:rsidR="000647C0">
        <w:rPr>
          <w:lang w:val="uk-UA"/>
        </w:rPr>
        <w:t xml:space="preserve">з </w:t>
      </w:r>
      <w:r w:rsidR="00412D7C" w:rsidRPr="00D13FE5">
        <w:rPr>
          <w:lang w:val="uk-UA"/>
        </w:rPr>
        <w:t>пре</w:t>
      </w:r>
      <w:r w:rsidR="000647C0">
        <w:rPr>
          <w:lang w:val="uk-UA"/>
        </w:rPr>
        <w:t xml:space="preserve">дставленням </w:t>
      </w:r>
      <w:r w:rsidR="00412D7C" w:rsidRPr="00D13FE5">
        <w:rPr>
          <w:lang w:val="uk-UA"/>
        </w:rPr>
        <w:t>досвіду інших зелених міст колег</w:t>
      </w:r>
      <w:r w:rsidR="000647C0">
        <w:rPr>
          <w:lang w:val="uk-UA"/>
        </w:rPr>
        <w:t>ами</w:t>
      </w:r>
      <w:r w:rsidR="00412D7C" w:rsidRPr="00D13FE5">
        <w:rPr>
          <w:lang w:val="uk-UA"/>
        </w:rPr>
        <w:t xml:space="preserve"> ЄБРР, </w:t>
      </w:r>
      <w:r w:rsidR="000647C0">
        <w:rPr>
          <w:lang w:val="uk-UA"/>
        </w:rPr>
        <w:t>що</w:t>
      </w:r>
      <w:r w:rsidR="00412D7C" w:rsidRPr="00D13FE5">
        <w:rPr>
          <w:lang w:val="uk-UA"/>
        </w:rPr>
        <w:t xml:space="preserve"> могл</w:t>
      </w:r>
      <w:r w:rsidR="000647C0">
        <w:rPr>
          <w:lang w:val="uk-UA"/>
        </w:rPr>
        <w:t>о</w:t>
      </w:r>
      <w:r w:rsidR="00412D7C" w:rsidRPr="00D13FE5">
        <w:rPr>
          <w:lang w:val="uk-UA"/>
        </w:rPr>
        <w:t xml:space="preserve"> б</w:t>
      </w:r>
      <w:r w:rsidR="000647C0">
        <w:rPr>
          <w:lang w:val="uk-UA"/>
        </w:rPr>
        <w:t>и</w:t>
      </w:r>
      <w:r w:rsidR="00412D7C" w:rsidRPr="00D13FE5">
        <w:rPr>
          <w:lang w:val="uk-UA"/>
        </w:rPr>
        <w:t xml:space="preserve"> дійсно </w:t>
      </w:r>
      <w:r w:rsidR="000647C0">
        <w:rPr>
          <w:lang w:val="uk-UA"/>
        </w:rPr>
        <w:t>до</w:t>
      </w:r>
      <w:r w:rsidR="00412D7C" w:rsidRPr="00D13FE5">
        <w:rPr>
          <w:lang w:val="uk-UA"/>
        </w:rPr>
        <w:t xml:space="preserve">дати </w:t>
      </w:r>
      <w:r w:rsidR="000647C0">
        <w:rPr>
          <w:lang w:val="uk-UA"/>
        </w:rPr>
        <w:t xml:space="preserve">місцевим управлінцям сучасних знань </w:t>
      </w:r>
      <w:r w:rsidR="00412D7C" w:rsidRPr="00D13FE5">
        <w:rPr>
          <w:lang w:val="uk-UA"/>
        </w:rPr>
        <w:t>і таким чином п</w:t>
      </w:r>
      <w:r w:rsidR="000647C0">
        <w:rPr>
          <w:lang w:val="uk-UA"/>
        </w:rPr>
        <w:t xml:space="preserve">осилити рівень </w:t>
      </w:r>
      <w:r w:rsidR="00412D7C" w:rsidRPr="00D13FE5">
        <w:rPr>
          <w:lang w:val="uk-UA"/>
        </w:rPr>
        <w:t>місцев</w:t>
      </w:r>
      <w:r w:rsidR="000647C0">
        <w:rPr>
          <w:lang w:val="uk-UA"/>
        </w:rPr>
        <w:t>их</w:t>
      </w:r>
      <w:r w:rsidR="00412D7C" w:rsidRPr="00D13FE5">
        <w:rPr>
          <w:lang w:val="uk-UA"/>
        </w:rPr>
        <w:t xml:space="preserve"> амбіці</w:t>
      </w:r>
      <w:r w:rsidR="000647C0">
        <w:rPr>
          <w:lang w:val="uk-UA"/>
        </w:rPr>
        <w:t xml:space="preserve">й щодо зелених можливостей </w:t>
      </w:r>
      <w:r w:rsidR="00412D7C" w:rsidRPr="00D13FE5">
        <w:rPr>
          <w:lang w:val="uk-UA"/>
        </w:rPr>
        <w:t xml:space="preserve">та </w:t>
      </w:r>
      <w:r w:rsidR="000647C0">
        <w:rPr>
          <w:lang w:val="uk-UA"/>
        </w:rPr>
        <w:t xml:space="preserve">відповідних </w:t>
      </w:r>
      <w:r w:rsidR="00412D7C" w:rsidRPr="00D13FE5">
        <w:rPr>
          <w:lang w:val="uk-UA"/>
        </w:rPr>
        <w:t>ді</w:t>
      </w:r>
      <w:r w:rsidR="000647C0">
        <w:rPr>
          <w:lang w:val="uk-UA"/>
        </w:rPr>
        <w:t>й</w:t>
      </w:r>
      <w:r w:rsidR="00D13FE5">
        <w:rPr>
          <w:lang w:val="uk-UA"/>
        </w:rPr>
        <w:t>.</w:t>
      </w:r>
    </w:p>
    <w:p w:rsidR="0058467B" w:rsidRDefault="0058467B" w:rsidP="007C0509">
      <w:pPr>
        <w:spacing w:after="0" w:line="240" w:lineRule="auto"/>
        <w:jc w:val="both"/>
        <w:rPr>
          <w:b/>
          <w:lang w:val="uk-UA"/>
        </w:rPr>
      </w:pPr>
    </w:p>
    <w:p w:rsidR="001F75ED" w:rsidRDefault="000647C0" w:rsidP="007C0509">
      <w:pPr>
        <w:spacing w:after="0" w:line="240" w:lineRule="auto"/>
        <w:jc w:val="both"/>
        <w:rPr>
          <w:lang w:val="uk-UA"/>
        </w:rPr>
      </w:pPr>
      <w:r>
        <w:rPr>
          <w:b/>
          <w:lang w:val="uk-UA"/>
        </w:rPr>
        <w:t>Наступні кроки</w:t>
      </w:r>
      <w:r w:rsidR="00166B05" w:rsidRPr="009C434A">
        <w:rPr>
          <w:b/>
        </w:rPr>
        <w:t>.</w:t>
      </w:r>
      <w:r w:rsidR="00166B05" w:rsidRPr="009C434A">
        <w:t xml:space="preserve"> </w:t>
      </w:r>
      <w:r w:rsidR="009C434A" w:rsidRPr="001F75ED">
        <w:rPr>
          <w:lang w:val="uk-UA"/>
        </w:rPr>
        <w:t xml:space="preserve">Після </w:t>
      </w:r>
      <w:r w:rsidR="009C434A" w:rsidRPr="001F75ED">
        <w:rPr>
          <w:lang w:val="uk-UA"/>
        </w:rPr>
        <w:t>консультації</w:t>
      </w:r>
      <w:r w:rsidR="009C434A" w:rsidRPr="001F75ED">
        <w:rPr>
          <w:lang w:val="uk-UA"/>
        </w:rPr>
        <w:t xml:space="preserve"> учасникам розіслали «остаточний список» </w:t>
      </w:r>
      <w:r w:rsidR="009C434A" w:rsidRPr="001F75ED">
        <w:rPr>
          <w:lang w:val="uk-UA"/>
        </w:rPr>
        <w:t>заходів</w:t>
      </w:r>
      <w:r w:rsidR="00A706E8" w:rsidRPr="001F75ED">
        <w:rPr>
          <w:lang w:val="uk-UA"/>
        </w:rPr>
        <w:t xml:space="preserve">. </w:t>
      </w:r>
      <w:r w:rsidR="009C434A" w:rsidRPr="001F75ED">
        <w:rPr>
          <w:lang w:val="uk-UA"/>
        </w:rPr>
        <w:t xml:space="preserve">Кожен отримав можливість </w:t>
      </w:r>
      <w:r w:rsidR="001F75ED">
        <w:rPr>
          <w:lang w:val="uk-UA"/>
        </w:rPr>
        <w:t>нада</w:t>
      </w:r>
      <w:r w:rsidR="009C434A" w:rsidRPr="001F75ED">
        <w:rPr>
          <w:lang w:val="uk-UA"/>
        </w:rPr>
        <w:t>ти свої пропозиції та зауваження і надіслати їх у письмовій формі до 4 лютого.</w:t>
      </w:r>
      <w:r w:rsidR="00A706E8" w:rsidRPr="001F75ED">
        <w:rPr>
          <w:lang w:val="uk-UA"/>
        </w:rPr>
        <w:t xml:space="preserve"> </w:t>
      </w:r>
      <w:r w:rsidR="009C434A" w:rsidRPr="001F75ED">
        <w:rPr>
          <w:lang w:val="uk-UA"/>
        </w:rPr>
        <w:t xml:space="preserve">Потім </w:t>
      </w:r>
      <w:r w:rsidR="009C434A" w:rsidRPr="001F75ED">
        <w:rPr>
          <w:lang w:val="uk-UA"/>
        </w:rPr>
        <w:t xml:space="preserve">обговорені </w:t>
      </w:r>
      <w:r w:rsidR="009C434A" w:rsidRPr="001F75ED">
        <w:rPr>
          <w:lang w:val="uk-UA"/>
        </w:rPr>
        <w:t>варіанти будуть додатково опрацьовані галузевими експертами до 11 лютого.</w:t>
      </w:r>
      <w:r w:rsidR="00661F75" w:rsidRPr="001F75ED">
        <w:rPr>
          <w:lang w:val="uk-UA"/>
        </w:rPr>
        <w:t xml:space="preserve"> </w:t>
      </w:r>
      <w:r w:rsidR="009C434A" w:rsidRPr="001F75ED">
        <w:rPr>
          <w:lang w:val="uk-UA"/>
        </w:rPr>
        <w:t>Таке залучення робить процес взаємодії ефективним і демонструє переваги партисипативних підходів, коли мешканці беруть активну участь у місцевому розвитку з самого початку планування та вносять конструктивні пропозиції.</w:t>
      </w:r>
      <w:r w:rsidR="009C434A" w:rsidRPr="001F75ED">
        <w:rPr>
          <w:lang w:val="uk-UA"/>
        </w:rPr>
        <w:t xml:space="preserve"> </w:t>
      </w:r>
    </w:p>
    <w:p w:rsidR="009C434A" w:rsidRPr="001F75ED" w:rsidRDefault="009C434A" w:rsidP="007C0509">
      <w:pPr>
        <w:spacing w:after="0" w:line="240" w:lineRule="auto"/>
        <w:jc w:val="both"/>
        <w:rPr>
          <w:lang w:val="uk-UA"/>
        </w:rPr>
      </w:pPr>
      <w:r w:rsidRPr="001F75ED">
        <w:rPr>
          <w:lang w:val="uk-UA"/>
        </w:rPr>
        <w:t xml:space="preserve">Коментарі, отримані після семінару, </w:t>
      </w:r>
      <w:r w:rsidRPr="001F75ED">
        <w:rPr>
          <w:lang w:val="uk-UA"/>
        </w:rPr>
        <w:t>стосувались</w:t>
      </w:r>
      <w:r w:rsidRPr="001F75ED">
        <w:rPr>
          <w:lang w:val="uk-UA"/>
        </w:rPr>
        <w:t xml:space="preserve"> сектор</w:t>
      </w:r>
      <w:r w:rsidRPr="001F75ED">
        <w:rPr>
          <w:lang w:val="uk-UA"/>
        </w:rPr>
        <w:t>ів</w:t>
      </w:r>
      <w:r w:rsidRPr="001F75ED">
        <w:rPr>
          <w:lang w:val="uk-UA"/>
        </w:rPr>
        <w:t xml:space="preserve"> транспорту, води, енергоефективності, </w:t>
      </w:r>
      <w:r w:rsidRPr="001F75ED">
        <w:rPr>
          <w:lang w:val="uk-UA"/>
        </w:rPr>
        <w:t>інтегрованого</w:t>
      </w:r>
      <w:r w:rsidRPr="001F75ED">
        <w:rPr>
          <w:lang w:val="uk-UA"/>
        </w:rPr>
        <w:t xml:space="preserve"> міського планування та </w:t>
      </w:r>
      <w:r w:rsidRPr="001F75ED">
        <w:rPr>
          <w:lang w:val="uk-UA"/>
        </w:rPr>
        <w:t xml:space="preserve">управління </w:t>
      </w:r>
      <w:r w:rsidRPr="001F75ED">
        <w:rPr>
          <w:lang w:val="uk-UA"/>
        </w:rPr>
        <w:t>відход</w:t>
      </w:r>
      <w:r w:rsidRPr="001F75ED">
        <w:rPr>
          <w:lang w:val="uk-UA"/>
        </w:rPr>
        <w:t>ами</w:t>
      </w:r>
      <w:r w:rsidRPr="001F75ED">
        <w:rPr>
          <w:lang w:val="uk-UA"/>
        </w:rPr>
        <w:t xml:space="preserve">. За потреби </w:t>
      </w:r>
      <w:r w:rsidRPr="001F75ED">
        <w:rPr>
          <w:lang w:val="uk-UA"/>
        </w:rPr>
        <w:t xml:space="preserve">ще </w:t>
      </w:r>
      <w:r w:rsidRPr="001F75ED">
        <w:rPr>
          <w:lang w:val="uk-UA"/>
        </w:rPr>
        <w:t xml:space="preserve">буде організовано додаткове спілкування з </w:t>
      </w:r>
      <w:r w:rsidRPr="001F75ED">
        <w:rPr>
          <w:lang w:val="uk-UA"/>
        </w:rPr>
        <w:t>фахівцями міської ради</w:t>
      </w:r>
      <w:r w:rsidRPr="001F75ED">
        <w:rPr>
          <w:lang w:val="uk-UA"/>
        </w:rPr>
        <w:t xml:space="preserve"> та галузевими місцевими експертами</w:t>
      </w:r>
      <w:r w:rsidRPr="001F75ED">
        <w:rPr>
          <w:lang w:val="uk-UA"/>
        </w:rPr>
        <w:t>.</w:t>
      </w:r>
    </w:p>
    <w:sectPr w:rsidR="009C434A" w:rsidRPr="001F75ED">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2BC3" w:rsidRDefault="002E2BC3" w:rsidP="000B4C38">
      <w:pPr>
        <w:spacing w:after="0" w:line="240" w:lineRule="auto"/>
      </w:pPr>
      <w:r>
        <w:separator/>
      </w:r>
    </w:p>
  </w:endnote>
  <w:endnote w:type="continuationSeparator" w:id="0">
    <w:p w:rsidR="002E2BC3" w:rsidRDefault="002E2BC3" w:rsidP="000B4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2BC3" w:rsidRDefault="002E2BC3" w:rsidP="000B4C38">
      <w:pPr>
        <w:spacing w:after="0" w:line="240" w:lineRule="auto"/>
      </w:pPr>
      <w:r>
        <w:separator/>
      </w:r>
    </w:p>
  </w:footnote>
  <w:footnote w:type="continuationSeparator" w:id="0">
    <w:p w:rsidR="002E2BC3" w:rsidRDefault="002E2BC3" w:rsidP="000B4C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C38" w:rsidRDefault="000B4C38">
    <w:pPr>
      <w:pStyle w:val="a6"/>
    </w:pPr>
    <w:r w:rsidRPr="000B4C38">
      <w:rPr>
        <w:noProof/>
      </w:rPr>
      <w:drawing>
        <wp:anchor distT="0" distB="0" distL="114300" distR="114300" simplePos="0" relativeHeight="251664384" behindDoc="0" locked="0" layoutInCell="1" allowOverlap="1" wp14:anchorId="079AB11E" wp14:editId="54897170">
          <wp:simplePos x="0" y="0"/>
          <wp:positionH relativeFrom="column">
            <wp:posOffset>2663190</wp:posOffset>
          </wp:positionH>
          <wp:positionV relativeFrom="paragraph">
            <wp:posOffset>-335280</wp:posOffset>
          </wp:positionV>
          <wp:extent cx="600075" cy="516255"/>
          <wp:effectExtent l="0" t="0" r="9525" b="0"/>
          <wp:wrapNone/>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516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B4C38">
      <w:rPr>
        <w:noProof/>
      </w:rPr>
      <w:drawing>
        <wp:anchor distT="0" distB="0" distL="114300" distR="114300" simplePos="0" relativeHeight="251660288" behindDoc="0" locked="0" layoutInCell="1" allowOverlap="1" wp14:anchorId="0A17ABA0" wp14:editId="491FC0FD">
          <wp:simplePos x="0" y="0"/>
          <wp:positionH relativeFrom="column">
            <wp:posOffset>72390</wp:posOffset>
          </wp:positionH>
          <wp:positionV relativeFrom="paragraph">
            <wp:posOffset>-181610</wp:posOffset>
          </wp:positionV>
          <wp:extent cx="1255395" cy="400685"/>
          <wp:effectExtent l="0" t="0" r="0" b="0"/>
          <wp:wrapNone/>
          <wp:docPr id="11" name="Picture 10">
            <a:extLst xmlns:a="http://schemas.openxmlformats.org/drawingml/2006/main">
              <a:ext uri="{FF2B5EF4-FFF2-40B4-BE49-F238E27FC236}">
                <a16:creationId xmlns:a16="http://schemas.microsoft.com/office/drawing/2014/main" id="{27BC1410-0F3E-4A43-828F-C47854E767B4}"/>
              </a:ext>
            </a:extLst>
          </wp:docPr>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27BC1410-0F3E-4A43-828F-C47854E767B4}"/>
                      </a:ext>
                    </a:extLst>
                  </pic:cNvPr>
                  <pic:cNvPicPr/>
                </pic:nvPicPr>
                <pic:blipFill>
                  <a:blip r:embed="rId2"/>
                  <a:stretch>
                    <a:fillRect/>
                  </a:stretch>
                </pic:blipFill>
                <pic:spPr>
                  <a:xfrm>
                    <a:off x="0" y="0"/>
                    <a:ext cx="1255395" cy="400685"/>
                  </a:xfrm>
                  <a:prstGeom prst="rect">
                    <a:avLst/>
                  </a:prstGeom>
                </pic:spPr>
              </pic:pic>
            </a:graphicData>
          </a:graphic>
          <wp14:sizeRelV relativeFrom="margin">
            <wp14:pctHeight>0</wp14:pctHeight>
          </wp14:sizeRelV>
        </wp:anchor>
      </w:drawing>
    </w:r>
    <w:r w:rsidRPr="000B4C38">
      <w:rPr>
        <w:noProof/>
      </w:rPr>
      <w:drawing>
        <wp:anchor distT="0" distB="0" distL="114300" distR="114300" simplePos="0" relativeHeight="251659264" behindDoc="0" locked="0" layoutInCell="1" allowOverlap="1" wp14:anchorId="0976C531" wp14:editId="2C779C47">
          <wp:simplePos x="0" y="0"/>
          <wp:positionH relativeFrom="column">
            <wp:posOffset>1430020</wp:posOffset>
          </wp:positionH>
          <wp:positionV relativeFrom="paragraph">
            <wp:posOffset>-120650</wp:posOffset>
          </wp:positionV>
          <wp:extent cx="1038860" cy="304800"/>
          <wp:effectExtent l="0" t="0" r="8890" b="0"/>
          <wp:wrapNone/>
          <wp:docPr id="8" name="Picture 7">
            <a:extLst xmlns:a="http://schemas.openxmlformats.org/drawingml/2006/main">
              <a:ext uri="{FF2B5EF4-FFF2-40B4-BE49-F238E27FC236}">
                <a16:creationId xmlns:a16="http://schemas.microsoft.com/office/drawing/2014/main" id="{B6E04BD2-6EB6-4270-B0F6-3DCB6CAF1BF0}"/>
              </a:ext>
            </a:extLst>
          </wp:docPr>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B6E04BD2-6EB6-4270-B0F6-3DCB6CAF1BF0}"/>
                      </a:ext>
                    </a:extLst>
                  </pic:cNvPr>
                  <pic:cNvPicPr/>
                </pic:nvPicPr>
                <pic:blipFill>
                  <a:blip r:embed="rId3"/>
                  <a:stretch>
                    <a:fillRect/>
                  </a:stretch>
                </pic:blipFill>
                <pic:spPr>
                  <a:xfrm>
                    <a:off x="0" y="0"/>
                    <a:ext cx="1038860" cy="304800"/>
                  </a:xfrm>
                  <a:prstGeom prst="rect">
                    <a:avLst/>
                  </a:prstGeom>
                </pic:spPr>
              </pic:pic>
            </a:graphicData>
          </a:graphic>
        </wp:anchor>
      </w:drawing>
    </w:r>
    <w:r w:rsidRPr="000B4C38">
      <w:rPr>
        <w:noProof/>
      </w:rPr>
      <w:drawing>
        <wp:anchor distT="0" distB="0" distL="114300" distR="114300" simplePos="0" relativeHeight="251661312" behindDoc="0" locked="0" layoutInCell="1" allowOverlap="1" wp14:anchorId="1E1DC6BD" wp14:editId="775DFB2D">
          <wp:simplePos x="0" y="0"/>
          <wp:positionH relativeFrom="column">
            <wp:posOffset>4588510</wp:posOffset>
          </wp:positionH>
          <wp:positionV relativeFrom="paragraph">
            <wp:posOffset>-288290</wp:posOffset>
          </wp:positionV>
          <wp:extent cx="594995" cy="573405"/>
          <wp:effectExtent l="0" t="0" r="0" b="0"/>
          <wp:wrapNone/>
          <wp:docPr id="7" name="Picture 6">
            <a:extLst xmlns:a="http://schemas.openxmlformats.org/drawingml/2006/main">
              <a:ext uri="{FF2B5EF4-FFF2-40B4-BE49-F238E27FC236}">
                <a16:creationId xmlns:a16="http://schemas.microsoft.com/office/drawing/2014/main" id="{35ED9290-CF9B-42F0-97E8-558E7C6F2C4D}"/>
              </a:ext>
            </a:extLst>
          </wp:docPr>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35ED9290-CF9B-42F0-97E8-558E7C6F2C4D}"/>
                      </a:ext>
                    </a:extLst>
                  </pic:cNvPr>
                  <pic:cNvPicPr/>
                </pic:nvPicPr>
                <pic:blipFill>
                  <a:blip r:embed="rId4"/>
                  <a:stretch>
                    <a:fillRect/>
                  </a:stretch>
                </pic:blipFill>
                <pic:spPr>
                  <a:xfrm>
                    <a:off x="0" y="0"/>
                    <a:ext cx="594995" cy="573405"/>
                  </a:xfrm>
                  <a:prstGeom prst="rect">
                    <a:avLst/>
                  </a:prstGeom>
                </pic:spPr>
              </pic:pic>
            </a:graphicData>
          </a:graphic>
        </wp:anchor>
      </w:drawing>
    </w:r>
    <w:r w:rsidRPr="000B4C38">
      <w:rPr>
        <w:noProof/>
      </w:rPr>
      <w:drawing>
        <wp:anchor distT="0" distB="0" distL="114300" distR="114300" simplePos="0" relativeHeight="251663360" behindDoc="0" locked="1" layoutInCell="1" allowOverlap="1" wp14:anchorId="48BEA7AC" wp14:editId="55333B83">
          <wp:simplePos x="0" y="0"/>
          <wp:positionH relativeFrom="rightMargin">
            <wp:posOffset>-2451735</wp:posOffset>
          </wp:positionH>
          <wp:positionV relativeFrom="page">
            <wp:posOffset>270510</wp:posOffset>
          </wp:positionV>
          <wp:extent cx="964565" cy="4457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ue_Atkins_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64565" cy="445770"/>
                  </a:xfrm>
                  <a:prstGeom prst="rect">
                    <a:avLst/>
                  </a:prstGeom>
                </pic:spPr>
              </pic:pic>
            </a:graphicData>
          </a:graphic>
          <wp14:sizeRelH relativeFrom="margin">
            <wp14:pctWidth>0</wp14:pctWidth>
          </wp14:sizeRelH>
          <wp14:sizeRelV relativeFrom="margin">
            <wp14:pctHeight>0</wp14:pctHeight>
          </wp14:sizeRelV>
        </wp:anchor>
      </w:drawing>
    </w:r>
  </w:p>
  <w:p w:rsidR="000B4C38" w:rsidRDefault="000B4C3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B43CF"/>
    <w:multiLevelType w:val="hybridMultilevel"/>
    <w:tmpl w:val="48600D6C"/>
    <w:lvl w:ilvl="0" w:tplc="04220001">
      <w:start w:val="1"/>
      <w:numFmt w:val="bullet"/>
      <w:lvlText w:val=""/>
      <w:lvlJc w:val="left"/>
      <w:pPr>
        <w:ind w:left="1998" w:hanging="360"/>
      </w:pPr>
      <w:rPr>
        <w:rFonts w:ascii="Symbol" w:hAnsi="Symbol" w:hint="default"/>
      </w:rPr>
    </w:lvl>
    <w:lvl w:ilvl="1" w:tplc="04220003">
      <w:start w:val="1"/>
      <w:numFmt w:val="bullet"/>
      <w:lvlText w:val="o"/>
      <w:lvlJc w:val="left"/>
      <w:pPr>
        <w:ind w:left="2718" w:hanging="360"/>
      </w:pPr>
      <w:rPr>
        <w:rFonts w:ascii="Courier New" w:hAnsi="Courier New" w:cs="Courier New" w:hint="default"/>
      </w:rPr>
    </w:lvl>
    <w:lvl w:ilvl="2" w:tplc="04220005">
      <w:start w:val="1"/>
      <w:numFmt w:val="bullet"/>
      <w:lvlText w:val=""/>
      <w:lvlJc w:val="left"/>
      <w:pPr>
        <w:ind w:left="3438" w:hanging="360"/>
      </w:pPr>
      <w:rPr>
        <w:rFonts w:ascii="Wingdings" w:hAnsi="Wingdings" w:hint="default"/>
      </w:rPr>
    </w:lvl>
    <w:lvl w:ilvl="3" w:tplc="04220001">
      <w:start w:val="1"/>
      <w:numFmt w:val="bullet"/>
      <w:lvlText w:val=""/>
      <w:lvlJc w:val="left"/>
      <w:pPr>
        <w:ind w:left="4158" w:hanging="360"/>
      </w:pPr>
      <w:rPr>
        <w:rFonts w:ascii="Symbol" w:hAnsi="Symbol" w:hint="default"/>
      </w:rPr>
    </w:lvl>
    <w:lvl w:ilvl="4" w:tplc="04220003">
      <w:start w:val="1"/>
      <w:numFmt w:val="bullet"/>
      <w:lvlText w:val="o"/>
      <w:lvlJc w:val="left"/>
      <w:pPr>
        <w:ind w:left="4878" w:hanging="360"/>
      </w:pPr>
      <w:rPr>
        <w:rFonts w:ascii="Courier New" w:hAnsi="Courier New" w:cs="Courier New" w:hint="default"/>
      </w:rPr>
    </w:lvl>
    <w:lvl w:ilvl="5" w:tplc="04220005">
      <w:start w:val="1"/>
      <w:numFmt w:val="bullet"/>
      <w:lvlText w:val=""/>
      <w:lvlJc w:val="left"/>
      <w:pPr>
        <w:ind w:left="5598" w:hanging="360"/>
      </w:pPr>
      <w:rPr>
        <w:rFonts w:ascii="Wingdings" w:hAnsi="Wingdings" w:hint="default"/>
      </w:rPr>
    </w:lvl>
    <w:lvl w:ilvl="6" w:tplc="04220001">
      <w:start w:val="1"/>
      <w:numFmt w:val="bullet"/>
      <w:lvlText w:val=""/>
      <w:lvlJc w:val="left"/>
      <w:pPr>
        <w:ind w:left="6318" w:hanging="360"/>
      </w:pPr>
      <w:rPr>
        <w:rFonts w:ascii="Symbol" w:hAnsi="Symbol" w:hint="default"/>
      </w:rPr>
    </w:lvl>
    <w:lvl w:ilvl="7" w:tplc="04220003">
      <w:start w:val="1"/>
      <w:numFmt w:val="bullet"/>
      <w:lvlText w:val="o"/>
      <w:lvlJc w:val="left"/>
      <w:pPr>
        <w:ind w:left="7038" w:hanging="360"/>
      </w:pPr>
      <w:rPr>
        <w:rFonts w:ascii="Courier New" w:hAnsi="Courier New" w:cs="Courier New" w:hint="default"/>
      </w:rPr>
    </w:lvl>
    <w:lvl w:ilvl="8" w:tplc="04220005">
      <w:start w:val="1"/>
      <w:numFmt w:val="bullet"/>
      <w:lvlText w:val=""/>
      <w:lvlJc w:val="left"/>
      <w:pPr>
        <w:ind w:left="7758" w:hanging="360"/>
      </w:pPr>
      <w:rPr>
        <w:rFonts w:ascii="Wingdings" w:hAnsi="Wingdings" w:hint="default"/>
      </w:rPr>
    </w:lvl>
  </w:abstractNum>
  <w:abstractNum w:abstractNumId="1" w15:restartNumberingAfterBreak="0">
    <w:nsid w:val="035505AD"/>
    <w:multiLevelType w:val="multilevel"/>
    <w:tmpl w:val="F8AEC4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CD097D"/>
    <w:multiLevelType w:val="multilevel"/>
    <w:tmpl w:val="617C637A"/>
    <w:lvl w:ilvl="0">
      <w:start w:val="1"/>
      <w:numFmt w:val="bullet"/>
      <w:lvlText w:val=""/>
      <w:lvlJc w:val="left"/>
      <w:pPr>
        <w:tabs>
          <w:tab w:val="num" w:pos="-1032"/>
        </w:tabs>
        <w:ind w:left="-1032" w:hanging="360"/>
      </w:pPr>
      <w:rPr>
        <w:rFonts w:ascii="Symbol" w:hAnsi="Symbol" w:hint="default"/>
        <w:sz w:val="20"/>
      </w:rPr>
    </w:lvl>
    <w:lvl w:ilvl="1" w:tentative="1">
      <w:start w:val="1"/>
      <w:numFmt w:val="bullet"/>
      <w:lvlText w:val="o"/>
      <w:lvlJc w:val="left"/>
      <w:pPr>
        <w:tabs>
          <w:tab w:val="num" w:pos="-312"/>
        </w:tabs>
        <w:ind w:left="-312" w:hanging="360"/>
      </w:pPr>
      <w:rPr>
        <w:rFonts w:ascii="Courier New" w:hAnsi="Courier New" w:hint="default"/>
        <w:sz w:val="20"/>
      </w:rPr>
    </w:lvl>
    <w:lvl w:ilvl="2" w:tentative="1">
      <w:start w:val="1"/>
      <w:numFmt w:val="bullet"/>
      <w:lvlText w:val=""/>
      <w:lvlJc w:val="left"/>
      <w:pPr>
        <w:tabs>
          <w:tab w:val="num" w:pos="408"/>
        </w:tabs>
        <w:ind w:left="408" w:hanging="360"/>
      </w:pPr>
      <w:rPr>
        <w:rFonts w:ascii="Wingdings" w:hAnsi="Wingdings" w:hint="default"/>
        <w:sz w:val="20"/>
      </w:rPr>
    </w:lvl>
    <w:lvl w:ilvl="3" w:tentative="1">
      <w:start w:val="1"/>
      <w:numFmt w:val="bullet"/>
      <w:lvlText w:val=""/>
      <w:lvlJc w:val="left"/>
      <w:pPr>
        <w:tabs>
          <w:tab w:val="num" w:pos="1128"/>
        </w:tabs>
        <w:ind w:left="1128" w:hanging="360"/>
      </w:pPr>
      <w:rPr>
        <w:rFonts w:ascii="Wingdings" w:hAnsi="Wingdings" w:hint="default"/>
        <w:sz w:val="20"/>
      </w:rPr>
    </w:lvl>
    <w:lvl w:ilvl="4" w:tentative="1">
      <w:start w:val="1"/>
      <w:numFmt w:val="bullet"/>
      <w:lvlText w:val=""/>
      <w:lvlJc w:val="left"/>
      <w:pPr>
        <w:tabs>
          <w:tab w:val="num" w:pos="1848"/>
        </w:tabs>
        <w:ind w:left="1848" w:hanging="360"/>
      </w:pPr>
      <w:rPr>
        <w:rFonts w:ascii="Wingdings" w:hAnsi="Wingdings" w:hint="default"/>
        <w:sz w:val="20"/>
      </w:rPr>
    </w:lvl>
    <w:lvl w:ilvl="5" w:tentative="1">
      <w:start w:val="1"/>
      <w:numFmt w:val="bullet"/>
      <w:lvlText w:val=""/>
      <w:lvlJc w:val="left"/>
      <w:pPr>
        <w:tabs>
          <w:tab w:val="num" w:pos="2568"/>
        </w:tabs>
        <w:ind w:left="2568" w:hanging="360"/>
      </w:pPr>
      <w:rPr>
        <w:rFonts w:ascii="Wingdings" w:hAnsi="Wingdings" w:hint="default"/>
        <w:sz w:val="20"/>
      </w:rPr>
    </w:lvl>
    <w:lvl w:ilvl="6" w:tentative="1">
      <w:start w:val="1"/>
      <w:numFmt w:val="bullet"/>
      <w:lvlText w:val=""/>
      <w:lvlJc w:val="left"/>
      <w:pPr>
        <w:tabs>
          <w:tab w:val="num" w:pos="3288"/>
        </w:tabs>
        <w:ind w:left="3288" w:hanging="360"/>
      </w:pPr>
      <w:rPr>
        <w:rFonts w:ascii="Wingdings" w:hAnsi="Wingdings" w:hint="default"/>
        <w:sz w:val="20"/>
      </w:rPr>
    </w:lvl>
    <w:lvl w:ilvl="7" w:tentative="1">
      <w:start w:val="1"/>
      <w:numFmt w:val="bullet"/>
      <w:lvlText w:val=""/>
      <w:lvlJc w:val="left"/>
      <w:pPr>
        <w:tabs>
          <w:tab w:val="num" w:pos="4008"/>
        </w:tabs>
        <w:ind w:left="4008" w:hanging="360"/>
      </w:pPr>
      <w:rPr>
        <w:rFonts w:ascii="Wingdings" w:hAnsi="Wingdings" w:hint="default"/>
        <w:sz w:val="20"/>
      </w:rPr>
    </w:lvl>
    <w:lvl w:ilvl="8" w:tentative="1">
      <w:start w:val="1"/>
      <w:numFmt w:val="bullet"/>
      <w:lvlText w:val=""/>
      <w:lvlJc w:val="left"/>
      <w:pPr>
        <w:tabs>
          <w:tab w:val="num" w:pos="4728"/>
        </w:tabs>
        <w:ind w:left="4728" w:hanging="360"/>
      </w:pPr>
      <w:rPr>
        <w:rFonts w:ascii="Wingdings" w:hAnsi="Wingdings" w:hint="default"/>
        <w:sz w:val="20"/>
      </w:rPr>
    </w:lvl>
  </w:abstractNum>
  <w:abstractNum w:abstractNumId="3" w15:restartNumberingAfterBreak="0">
    <w:nsid w:val="15371C5D"/>
    <w:multiLevelType w:val="hybridMultilevel"/>
    <w:tmpl w:val="C678966A"/>
    <w:lvl w:ilvl="0" w:tplc="B848592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271CDD"/>
    <w:multiLevelType w:val="hybridMultilevel"/>
    <w:tmpl w:val="F3769A0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96A32DA"/>
    <w:multiLevelType w:val="hybridMultilevel"/>
    <w:tmpl w:val="3D44ED9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C5B7FFD"/>
    <w:multiLevelType w:val="hybridMultilevel"/>
    <w:tmpl w:val="B70A7C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D237A43"/>
    <w:multiLevelType w:val="hybridMultilevel"/>
    <w:tmpl w:val="65C47BF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1D8249B9"/>
    <w:multiLevelType w:val="hybridMultilevel"/>
    <w:tmpl w:val="40E03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DCE140E"/>
    <w:multiLevelType w:val="hybridMultilevel"/>
    <w:tmpl w:val="072EC084"/>
    <w:lvl w:ilvl="0" w:tplc="897E1D9E">
      <w:numFmt w:val="bullet"/>
      <w:lvlText w:val="•"/>
      <w:lvlJc w:val="left"/>
      <w:pPr>
        <w:ind w:left="720" w:hanging="360"/>
      </w:pPr>
      <w:rPr>
        <w:rFonts w:ascii="Arial" w:eastAsiaTheme="minorHAnsi" w:hAnsi="Arial" w:cs="Arial" w:hint="default"/>
        <w:b/>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2FE1C8C"/>
    <w:multiLevelType w:val="hybridMultilevel"/>
    <w:tmpl w:val="0C602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8E46AB"/>
    <w:multiLevelType w:val="hybridMultilevel"/>
    <w:tmpl w:val="8586F90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CA43D8E"/>
    <w:multiLevelType w:val="hybridMultilevel"/>
    <w:tmpl w:val="7AACBF6A"/>
    <w:lvl w:ilvl="0" w:tplc="897E1D9E">
      <w:numFmt w:val="bullet"/>
      <w:lvlText w:val="•"/>
      <w:lvlJc w:val="left"/>
      <w:pPr>
        <w:ind w:left="720" w:hanging="360"/>
      </w:pPr>
      <w:rPr>
        <w:rFonts w:ascii="Arial" w:eastAsiaTheme="minorHAnsi" w:hAnsi="Arial" w:cs="Arial" w:hint="default"/>
        <w:b/>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F3F4B56"/>
    <w:multiLevelType w:val="hybridMultilevel"/>
    <w:tmpl w:val="CAF4805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2F492D98"/>
    <w:multiLevelType w:val="hybridMultilevel"/>
    <w:tmpl w:val="C382D17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0D50DEC"/>
    <w:multiLevelType w:val="hybridMultilevel"/>
    <w:tmpl w:val="ADA65D8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6" w15:restartNumberingAfterBreak="0">
    <w:nsid w:val="37772160"/>
    <w:multiLevelType w:val="multilevel"/>
    <w:tmpl w:val="22683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2347DB"/>
    <w:multiLevelType w:val="hybridMultilevel"/>
    <w:tmpl w:val="CBF89D9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42F86E90"/>
    <w:multiLevelType w:val="hybridMultilevel"/>
    <w:tmpl w:val="C18EE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4B5A7EC7"/>
    <w:multiLevelType w:val="hybridMultilevel"/>
    <w:tmpl w:val="C4825892"/>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0" w15:restartNumberingAfterBreak="0">
    <w:nsid w:val="4CCB5D1B"/>
    <w:multiLevelType w:val="hybridMultilevel"/>
    <w:tmpl w:val="3BB4D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D4C34C4"/>
    <w:multiLevelType w:val="hybridMultilevel"/>
    <w:tmpl w:val="FAB0EBE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5AC33360"/>
    <w:multiLevelType w:val="hybridMultilevel"/>
    <w:tmpl w:val="2D9405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AD30BD7"/>
    <w:multiLevelType w:val="hybridMultilevel"/>
    <w:tmpl w:val="F5A8BBE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5F4359D6"/>
    <w:multiLevelType w:val="hybridMultilevel"/>
    <w:tmpl w:val="81C038D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62AA688A"/>
    <w:multiLevelType w:val="hybridMultilevel"/>
    <w:tmpl w:val="7C9E3A22"/>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6" w15:restartNumberingAfterBreak="0">
    <w:nsid w:val="64350CCF"/>
    <w:multiLevelType w:val="hybridMultilevel"/>
    <w:tmpl w:val="067C221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64817353"/>
    <w:multiLevelType w:val="multilevel"/>
    <w:tmpl w:val="0144F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2A61237"/>
    <w:multiLevelType w:val="hybridMultilevel"/>
    <w:tmpl w:val="F7668A8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73513E6D"/>
    <w:multiLevelType w:val="hybridMultilevel"/>
    <w:tmpl w:val="157EF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7EE44B2F"/>
    <w:multiLevelType w:val="hybridMultilevel"/>
    <w:tmpl w:val="F87C7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F0B1147"/>
    <w:multiLevelType w:val="multilevel"/>
    <w:tmpl w:val="E624B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0"/>
  </w:num>
  <w:num w:numId="3">
    <w:abstractNumId w:val="3"/>
  </w:num>
  <w:num w:numId="4">
    <w:abstractNumId w:val="7"/>
  </w:num>
  <w:num w:numId="5">
    <w:abstractNumId w:val="23"/>
  </w:num>
  <w:num w:numId="6">
    <w:abstractNumId w:val="8"/>
  </w:num>
  <w:num w:numId="7">
    <w:abstractNumId w:val="30"/>
  </w:num>
  <w:num w:numId="8">
    <w:abstractNumId w:val="5"/>
  </w:num>
  <w:num w:numId="9">
    <w:abstractNumId w:val="26"/>
  </w:num>
  <w:num w:numId="10">
    <w:abstractNumId w:val="21"/>
  </w:num>
  <w:num w:numId="11">
    <w:abstractNumId w:val="22"/>
  </w:num>
  <w:num w:numId="12">
    <w:abstractNumId w:val="18"/>
  </w:num>
  <w:num w:numId="13">
    <w:abstractNumId w:val="6"/>
  </w:num>
  <w:num w:numId="14">
    <w:abstractNumId w:val="13"/>
  </w:num>
  <w:num w:numId="15">
    <w:abstractNumId w:val="29"/>
  </w:num>
  <w:num w:numId="16">
    <w:abstractNumId w:val="4"/>
  </w:num>
  <w:num w:numId="17">
    <w:abstractNumId w:val="27"/>
  </w:num>
  <w:num w:numId="18">
    <w:abstractNumId w:val="19"/>
  </w:num>
  <w:num w:numId="19">
    <w:abstractNumId w:val="11"/>
  </w:num>
  <w:num w:numId="20">
    <w:abstractNumId w:val="12"/>
  </w:num>
  <w:num w:numId="21">
    <w:abstractNumId w:val="9"/>
  </w:num>
  <w:num w:numId="22">
    <w:abstractNumId w:val="14"/>
  </w:num>
  <w:num w:numId="23">
    <w:abstractNumId w:val="25"/>
  </w:num>
  <w:num w:numId="24">
    <w:abstractNumId w:val="0"/>
  </w:num>
  <w:num w:numId="25">
    <w:abstractNumId w:val="15"/>
  </w:num>
  <w:num w:numId="26">
    <w:abstractNumId w:val="16"/>
  </w:num>
  <w:num w:numId="27">
    <w:abstractNumId w:val="1"/>
  </w:num>
  <w:num w:numId="28">
    <w:abstractNumId w:val="17"/>
  </w:num>
  <w:num w:numId="29">
    <w:abstractNumId w:val="24"/>
  </w:num>
  <w:num w:numId="30">
    <w:abstractNumId w:val="31"/>
  </w:num>
  <w:num w:numId="31">
    <w:abstractNumId w:val="10"/>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37C"/>
    <w:rsid w:val="00010E71"/>
    <w:rsid w:val="000118DF"/>
    <w:rsid w:val="00017EC6"/>
    <w:rsid w:val="00021BD9"/>
    <w:rsid w:val="000252A8"/>
    <w:rsid w:val="000263D7"/>
    <w:rsid w:val="000462B1"/>
    <w:rsid w:val="000525DA"/>
    <w:rsid w:val="00063744"/>
    <w:rsid w:val="000647C0"/>
    <w:rsid w:val="000664CB"/>
    <w:rsid w:val="00075BEF"/>
    <w:rsid w:val="0007733D"/>
    <w:rsid w:val="00077473"/>
    <w:rsid w:val="00086001"/>
    <w:rsid w:val="0009664B"/>
    <w:rsid w:val="00096900"/>
    <w:rsid w:val="000A0A72"/>
    <w:rsid w:val="000A6DA2"/>
    <w:rsid w:val="000B2B35"/>
    <w:rsid w:val="000B4C38"/>
    <w:rsid w:val="000C5FAE"/>
    <w:rsid w:val="000E7EE4"/>
    <w:rsid w:val="000F0162"/>
    <w:rsid w:val="000F2873"/>
    <w:rsid w:val="000F518B"/>
    <w:rsid w:val="00121BFF"/>
    <w:rsid w:val="00123D69"/>
    <w:rsid w:val="00126A14"/>
    <w:rsid w:val="00131CFF"/>
    <w:rsid w:val="00134BB0"/>
    <w:rsid w:val="0014253E"/>
    <w:rsid w:val="00157DF4"/>
    <w:rsid w:val="001603C2"/>
    <w:rsid w:val="00166B05"/>
    <w:rsid w:val="0017704F"/>
    <w:rsid w:val="001A26E9"/>
    <w:rsid w:val="001B29CA"/>
    <w:rsid w:val="001B308D"/>
    <w:rsid w:val="001D185B"/>
    <w:rsid w:val="001D7813"/>
    <w:rsid w:val="001E411A"/>
    <w:rsid w:val="001F75ED"/>
    <w:rsid w:val="002048F0"/>
    <w:rsid w:val="00230D9D"/>
    <w:rsid w:val="002420FF"/>
    <w:rsid w:val="002453C9"/>
    <w:rsid w:val="00245841"/>
    <w:rsid w:val="00247E7D"/>
    <w:rsid w:val="00254FAB"/>
    <w:rsid w:val="0027198D"/>
    <w:rsid w:val="00272D51"/>
    <w:rsid w:val="00280A0B"/>
    <w:rsid w:val="0028375D"/>
    <w:rsid w:val="00291368"/>
    <w:rsid w:val="00293BED"/>
    <w:rsid w:val="002A7314"/>
    <w:rsid w:val="002C132C"/>
    <w:rsid w:val="002C6CF2"/>
    <w:rsid w:val="002C737C"/>
    <w:rsid w:val="002E01F1"/>
    <w:rsid w:val="002E2BC3"/>
    <w:rsid w:val="002F46DB"/>
    <w:rsid w:val="00312C1D"/>
    <w:rsid w:val="0031465D"/>
    <w:rsid w:val="003157C6"/>
    <w:rsid w:val="003236B6"/>
    <w:rsid w:val="0032433F"/>
    <w:rsid w:val="00325B5A"/>
    <w:rsid w:val="00336958"/>
    <w:rsid w:val="0034450A"/>
    <w:rsid w:val="00377196"/>
    <w:rsid w:val="003775F7"/>
    <w:rsid w:val="0037770F"/>
    <w:rsid w:val="00384CBF"/>
    <w:rsid w:val="00385818"/>
    <w:rsid w:val="00390E79"/>
    <w:rsid w:val="003C019A"/>
    <w:rsid w:val="003C5293"/>
    <w:rsid w:val="003C5397"/>
    <w:rsid w:val="003D7990"/>
    <w:rsid w:val="003F4048"/>
    <w:rsid w:val="003F6B6D"/>
    <w:rsid w:val="00402084"/>
    <w:rsid w:val="00410870"/>
    <w:rsid w:val="0041092A"/>
    <w:rsid w:val="00412D7C"/>
    <w:rsid w:val="00416672"/>
    <w:rsid w:val="00420689"/>
    <w:rsid w:val="00442900"/>
    <w:rsid w:val="00444885"/>
    <w:rsid w:val="00446BDD"/>
    <w:rsid w:val="00450540"/>
    <w:rsid w:val="004557C4"/>
    <w:rsid w:val="00460E36"/>
    <w:rsid w:val="00463356"/>
    <w:rsid w:val="0047098A"/>
    <w:rsid w:val="00472727"/>
    <w:rsid w:val="00483306"/>
    <w:rsid w:val="00485880"/>
    <w:rsid w:val="004913B7"/>
    <w:rsid w:val="00493465"/>
    <w:rsid w:val="004961C8"/>
    <w:rsid w:val="004A141B"/>
    <w:rsid w:val="004B29A4"/>
    <w:rsid w:val="004B6F22"/>
    <w:rsid w:val="004D49EA"/>
    <w:rsid w:val="004E0B91"/>
    <w:rsid w:val="004E4FE1"/>
    <w:rsid w:val="005148FB"/>
    <w:rsid w:val="0052425C"/>
    <w:rsid w:val="005316C8"/>
    <w:rsid w:val="0053713B"/>
    <w:rsid w:val="0055421D"/>
    <w:rsid w:val="0055664C"/>
    <w:rsid w:val="00565AB4"/>
    <w:rsid w:val="00580BFB"/>
    <w:rsid w:val="005839CD"/>
    <w:rsid w:val="005841C6"/>
    <w:rsid w:val="0058467B"/>
    <w:rsid w:val="00593689"/>
    <w:rsid w:val="005A378A"/>
    <w:rsid w:val="005B7383"/>
    <w:rsid w:val="005D6162"/>
    <w:rsid w:val="005E3F32"/>
    <w:rsid w:val="00601BE3"/>
    <w:rsid w:val="00611347"/>
    <w:rsid w:val="00611498"/>
    <w:rsid w:val="00621037"/>
    <w:rsid w:val="0065798C"/>
    <w:rsid w:val="00660B71"/>
    <w:rsid w:val="0066154F"/>
    <w:rsid w:val="00661F75"/>
    <w:rsid w:val="0066394A"/>
    <w:rsid w:val="00666763"/>
    <w:rsid w:val="00682858"/>
    <w:rsid w:val="00683793"/>
    <w:rsid w:val="006970D1"/>
    <w:rsid w:val="006A0B38"/>
    <w:rsid w:val="006B144C"/>
    <w:rsid w:val="006B3FA0"/>
    <w:rsid w:val="006C31F3"/>
    <w:rsid w:val="006C51BB"/>
    <w:rsid w:val="006D1758"/>
    <w:rsid w:val="006E40EE"/>
    <w:rsid w:val="006F49A3"/>
    <w:rsid w:val="006F6EF3"/>
    <w:rsid w:val="00720D6E"/>
    <w:rsid w:val="00722903"/>
    <w:rsid w:val="007263F5"/>
    <w:rsid w:val="00730170"/>
    <w:rsid w:val="00747EA2"/>
    <w:rsid w:val="00763D96"/>
    <w:rsid w:val="00767A23"/>
    <w:rsid w:val="00776151"/>
    <w:rsid w:val="00780F0E"/>
    <w:rsid w:val="0079275E"/>
    <w:rsid w:val="00795B16"/>
    <w:rsid w:val="00796F68"/>
    <w:rsid w:val="007A2A53"/>
    <w:rsid w:val="007B46C2"/>
    <w:rsid w:val="007C0509"/>
    <w:rsid w:val="007D26BC"/>
    <w:rsid w:val="007E11CB"/>
    <w:rsid w:val="007E1637"/>
    <w:rsid w:val="007F0AA2"/>
    <w:rsid w:val="007F6D93"/>
    <w:rsid w:val="00805338"/>
    <w:rsid w:val="00810320"/>
    <w:rsid w:val="00821A8E"/>
    <w:rsid w:val="00827BF5"/>
    <w:rsid w:val="00843329"/>
    <w:rsid w:val="00852CEA"/>
    <w:rsid w:val="00855B4F"/>
    <w:rsid w:val="00860E1A"/>
    <w:rsid w:val="008668CD"/>
    <w:rsid w:val="00891C14"/>
    <w:rsid w:val="008A0AA8"/>
    <w:rsid w:val="008C5B7C"/>
    <w:rsid w:val="008D6B09"/>
    <w:rsid w:val="008D713E"/>
    <w:rsid w:val="008D7F34"/>
    <w:rsid w:val="008E19EF"/>
    <w:rsid w:val="008E7652"/>
    <w:rsid w:val="008F0B93"/>
    <w:rsid w:val="008F1CEF"/>
    <w:rsid w:val="008F5C49"/>
    <w:rsid w:val="00905836"/>
    <w:rsid w:val="00912FCB"/>
    <w:rsid w:val="00935954"/>
    <w:rsid w:val="009378D6"/>
    <w:rsid w:val="0094033E"/>
    <w:rsid w:val="009604A3"/>
    <w:rsid w:val="00970D64"/>
    <w:rsid w:val="009716E8"/>
    <w:rsid w:val="00987635"/>
    <w:rsid w:val="00987A8D"/>
    <w:rsid w:val="009A13C2"/>
    <w:rsid w:val="009A44E8"/>
    <w:rsid w:val="009A7472"/>
    <w:rsid w:val="009B58EF"/>
    <w:rsid w:val="009C434A"/>
    <w:rsid w:val="009D1188"/>
    <w:rsid w:val="009D1BBD"/>
    <w:rsid w:val="009D3C70"/>
    <w:rsid w:val="009D5882"/>
    <w:rsid w:val="009E178D"/>
    <w:rsid w:val="009F0EA1"/>
    <w:rsid w:val="009F252C"/>
    <w:rsid w:val="009F395E"/>
    <w:rsid w:val="009F6D72"/>
    <w:rsid w:val="00A34FF1"/>
    <w:rsid w:val="00A63640"/>
    <w:rsid w:val="00A63B4F"/>
    <w:rsid w:val="00A64A46"/>
    <w:rsid w:val="00A703D1"/>
    <w:rsid w:val="00A706E8"/>
    <w:rsid w:val="00A72701"/>
    <w:rsid w:val="00A82EB7"/>
    <w:rsid w:val="00A94FED"/>
    <w:rsid w:val="00AC0BC7"/>
    <w:rsid w:val="00AC5C93"/>
    <w:rsid w:val="00AD6DAD"/>
    <w:rsid w:val="00AE0115"/>
    <w:rsid w:val="00AE3D75"/>
    <w:rsid w:val="00AE7F10"/>
    <w:rsid w:val="00AF0636"/>
    <w:rsid w:val="00AF1A41"/>
    <w:rsid w:val="00AF6B8C"/>
    <w:rsid w:val="00B16B2C"/>
    <w:rsid w:val="00B223E8"/>
    <w:rsid w:val="00B25540"/>
    <w:rsid w:val="00B259D6"/>
    <w:rsid w:val="00B433F9"/>
    <w:rsid w:val="00B477EF"/>
    <w:rsid w:val="00B52CE9"/>
    <w:rsid w:val="00B64FA6"/>
    <w:rsid w:val="00B655A8"/>
    <w:rsid w:val="00B81361"/>
    <w:rsid w:val="00BA699A"/>
    <w:rsid w:val="00BD5EAE"/>
    <w:rsid w:val="00BE34B7"/>
    <w:rsid w:val="00BF0E69"/>
    <w:rsid w:val="00BF159D"/>
    <w:rsid w:val="00BF44D7"/>
    <w:rsid w:val="00BF7C0D"/>
    <w:rsid w:val="00C10F7C"/>
    <w:rsid w:val="00C353FC"/>
    <w:rsid w:val="00C57D96"/>
    <w:rsid w:val="00C90E32"/>
    <w:rsid w:val="00CB0C47"/>
    <w:rsid w:val="00CC1A7E"/>
    <w:rsid w:val="00CD39E1"/>
    <w:rsid w:val="00CD3B09"/>
    <w:rsid w:val="00CD5375"/>
    <w:rsid w:val="00CE4000"/>
    <w:rsid w:val="00CE4EFC"/>
    <w:rsid w:val="00CF3DA5"/>
    <w:rsid w:val="00CF6FF3"/>
    <w:rsid w:val="00D00111"/>
    <w:rsid w:val="00D00E9D"/>
    <w:rsid w:val="00D13FE5"/>
    <w:rsid w:val="00D21AD9"/>
    <w:rsid w:val="00D32221"/>
    <w:rsid w:val="00D36696"/>
    <w:rsid w:val="00D565A4"/>
    <w:rsid w:val="00D85AF8"/>
    <w:rsid w:val="00DB2286"/>
    <w:rsid w:val="00DB67BB"/>
    <w:rsid w:val="00DD6006"/>
    <w:rsid w:val="00DE36CE"/>
    <w:rsid w:val="00DF5FA8"/>
    <w:rsid w:val="00E002E3"/>
    <w:rsid w:val="00E13CBB"/>
    <w:rsid w:val="00E35AA7"/>
    <w:rsid w:val="00E45B30"/>
    <w:rsid w:val="00E54C88"/>
    <w:rsid w:val="00E553B8"/>
    <w:rsid w:val="00E566B0"/>
    <w:rsid w:val="00E60F31"/>
    <w:rsid w:val="00E644C2"/>
    <w:rsid w:val="00E6613D"/>
    <w:rsid w:val="00E718EA"/>
    <w:rsid w:val="00E80A65"/>
    <w:rsid w:val="00E834C7"/>
    <w:rsid w:val="00E842B5"/>
    <w:rsid w:val="00E9079C"/>
    <w:rsid w:val="00EA039D"/>
    <w:rsid w:val="00EA454D"/>
    <w:rsid w:val="00EA7330"/>
    <w:rsid w:val="00EC1C79"/>
    <w:rsid w:val="00ED27C9"/>
    <w:rsid w:val="00ED4B5B"/>
    <w:rsid w:val="00EE32F4"/>
    <w:rsid w:val="00EE5FC3"/>
    <w:rsid w:val="00EE7A87"/>
    <w:rsid w:val="00EF6155"/>
    <w:rsid w:val="00F005A4"/>
    <w:rsid w:val="00F12242"/>
    <w:rsid w:val="00F20858"/>
    <w:rsid w:val="00F25B64"/>
    <w:rsid w:val="00F267FD"/>
    <w:rsid w:val="00F73A8F"/>
    <w:rsid w:val="00F76FE0"/>
    <w:rsid w:val="00F8463C"/>
    <w:rsid w:val="00F903AA"/>
    <w:rsid w:val="00F97DAC"/>
    <w:rsid w:val="00FA414D"/>
    <w:rsid w:val="00FA53AB"/>
    <w:rsid w:val="00FA65BC"/>
    <w:rsid w:val="00FB4F04"/>
    <w:rsid w:val="00FB5C4B"/>
    <w:rsid w:val="00FC0895"/>
    <w:rsid w:val="00FC2C50"/>
    <w:rsid w:val="00FC6954"/>
    <w:rsid w:val="00FD5B9E"/>
    <w:rsid w:val="00FE1AFE"/>
    <w:rsid w:val="00FE2169"/>
    <w:rsid w:val="00FE2677"/>
    <w:rsid w:val="00FE57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1D181"/>
  <w15:docId w15:val="{2A912241-4CEC-4264-A019-5C7A24545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2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0E1A"/>
    <w:pPr>
      <w:ind w:left="720"/>
      <w:contextualSpacing/>
    </w:pPr>
  </w:style>
  <w:style w:type="paragraph" w:styleId="a4">
    <w:name w:val="Body Text"/>
    <w:link w:val="a5"/>
    <w:uiPriority w:val="29"/>
    <w:semiHidden/>
    <w:qFormat/>
    <w:rsid w:val="008D713E"/>
    <w:pPr>
      <w:spacing w:after="240" w:line="240" w:lineRule="auto"/>
    </w:pPr>
    <w:rPr>
      <w:rFonts w:ascii="Arial" w:eastAsia="Batang" w:hAnsi="Arial" w:cs="Arial"/>
      <w:color w:val="394A58"/>
      <w:sz w:val="20"/>
      <w:szCs w:val="20"/>
      <w:lang w:val="en-GB" w:eastAsia="ko-KR"/>
    </w:rPr>
  </w:style>
  <w:style w:type="character" w:customStyle="1" w:styleId="a5">
    <w:name w:val="Основной текст Знак"/>
    <w:basedOn w:val="a0"/>
    <w:link w:val="a4"/>
    <w:uiPriority w:val="29"/>
    <w:semiHidden/>
    <w:rsid w:val="008D713E"/>
    <w:rPr>
      <w:rFonts w:ascii="Arial" w:eastAsia="Batang" w:hAnsi="Arial" w:cs="Arial"/>
      <w:color w:val="394A58"/>
      <w:sz w:val="20"/>
      <w:szCs w:val="20"/>
      <w:lang w:val="en-GB" w:eastAsia="ko-KR"/>
    </w:rPr>
  </w:style>
  <w:style w:type="table" w:customStyle="1" w:styleId="Atkins14pt">
    <w:name w:val="Atkins_1/4pt"/>
    <w:basedOn w:val="a1"/>
    <w:uiPriority w:val="99"/>
    <w:qFormat/>
    <w:rsid w:val="008D713E"/>
    <w:pPr>
      <w:spacing w:after="0" w:line="240" w:lineRule="auto"/>
    </w:pPr>
    <w:rPr>
      <w:rFonts w:ascii="Arial" w:eastAsia="Batang" w:hAnsi="Arial" w:cs="Arial"/>
      <w:sz w:val="20"/>
      <w:szCs w:val="20"/>
      <w:lang w:val="en-GB" w:eastAsia="en-GB"/>
    </w:rPr>
    <w:tblPr>
      <w:tblInd w:w="57"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57" w:type="dxa"/>
        <w:right w:w="0" w:type="dxa"/>
      </w:tblCellMar>
    </w:tblPr>
    <w:tblStylePr w:type="firstRow">
      <w:pPr>
        <w:wordWrap/>
        <w:jc w:val="left"/>
      </w:pPr>
      <w:rPr>
        <w:rFonts w:ascii="Arial" w:hAnsi="Arial"/>
        <w:b/>
      </w:rPr>
      <w:tblPr/>
      <w:tcPr>
        <w:shd w:val="clear" w:color="auto" w:fill="FABF8F" w:themeFill="accent6" w:themeFillTint="99"/>
      </w:tcPr>
    </w:tblStylePr>
    <w:tblStylePr w:type="lastRow">
      <w:tblPr/>
      <w:tcPr>
        <w:tcBorders>
          <w:bottom w:val="single" w:sz="4" w:space="0" w:color="auto"/>
        </w:tcBorders>
      </w:tcPr>
    </w:tblStylePr>
    <w:tblStylePr w:type="firstCol">
      <w:pPr>
        <w:jc w:val="left"/>
      </w:pPr>
    </w:tblStylePr>
    <w:tblStylePr w:type="nwCell">
      <w:pPr>
        <w:jc w:val="left"/>
      </w:pPr>
    </w:tblStylePr>
  </w:style>
  <w:style w:type="paragraph" w:styleId="a6">
    <w:name w:val="header"/>
    <w:basedOn w:val="a"/>
    <w:link w:val="a7"/>
    <w:uiPriority w:val="99"/>
    <w:unhideWhenUsed/>
    <w:rsid w:val="000B4C3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B4C38"/>
  </w:style>
  <w:style w:type="paragraph" w:styleId="a8">
    <w:name w:val="footer"/>
    <w:basedOn w:val="a"/>
    <w:link w:val="a9"/>
    <w:uiPriority w:val="99"/>
    <w:unhideWhenUsed/>
    <w:rsid w:val="000B4C3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B4C38"/>
  </w:style>
  <w:style w:type="paragraph" w:customStyle="1" w:styleId="m8070530153063576849msolistparagraph">
    <w:name w:val="m_8070530153063576849msolistparagraph"/>
    <w:basedOn w:val="a"/>
    <w:rsid w:val="009604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a"/>
    <w:rsid w:val="002C13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2C132C"/>
  </w:style>
  <w:style w:type="character" w:customStyle="1" w:styleId="eop">
    <w:name w:val="eop"/>
    <w:basedOn w:val="a0"/>
    <w:rsid w:val="002C132C"/>
  </w:style>
  <w:style w:type="table" w:styleId="aa">
    <w:name w:val="Table Grid"/>
    <w:basedOn w:val="a1"/>
    <w:uiPriority w:val="39"/>
    <w:rsid w:val="00A706E8"/>
    <w:pPr>
      <w:spacing w:after="0" w:line="240" w:lineRule="auto"/>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917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7BF5D-FF49-42B9-8F14-EC964DC76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3</Pages>
  <Words>1663</Words>
  <Characters>9483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Natalia</cp:lastModifiedBy>
  <cp:revision>48</cp:revision>
  <dcterms:created xsi:type="dcterms:W3CDTF">2022-02-07T09:46:00Z</dcterms:created>
  <dcterms:modified xsi:type="dcterms:W3CDTF">2022-02-07T18:21:00Z</dcterms:modified>
</cp:coreProperties>
</file>