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602" w:rsidRDefault="00750602" w:rsidP="005A0B77">
      <w:pPr>
        <w:jc w:val="center"/>
        <w:rPr>
          <w:rFonts w:ascii="Arial" w:hAnsi="Arial" w:cs="Arial"/>
          <w:b/>
          <w:sz w:val="24"/>
          <w:szCs w:val="24"/>
          <w:lang w:val="en-US"/>
        </w:rPr>
      </w:pPr>
    </w:p>
    <w:p w:rsidR="005A0B77" w:rsidRPr="00750602" w:rsidRDefault="005A0B77" w:rsidP="005A0B77">
      <w:pPr>
        <w:jc w:val="center"/>
        <w:rPr>
          <w:rFonts w:ascii="Arial" w:hAnsi="Arial" w:cs="Arial"/>
          <w:b/>
          <w:sz w:val="24"/>
          <w:szCs w:val="24"/>
        </w:rPr>
      </w:pPr>
      <w:r w:rsidRPr="00750602">
        <w:rPr>
          <w:rFonts w:ascii="Arial" w:hAnsi="Arial" w:cs="Arial"/>
          <w:b/>
          <w:sz w:val="24"/>
          <w:szCs w:val="24"/>
        </w:rPr>
        <w:t xml:space="preserve">ІНФОРМАЦІЙНА ДОВІДКА (РЕЗЮМЕ СЕМІНАРУ КОНСУЛЬТАЦІЇ З ЗАЦІКАВЛЕНИМИ СТОРОНАМИ №2) </w:t>
      </w:r>
    </w:p>
    <w:p w:rsidR="005A0B77" w:rsidRPr="00514478" w:rsidRDefault="00514478" w:rsidP="005A0B77">
      <w:pPr>
        <w:jc w:val="center"/>
        <w:rPr>
          <w:rFonts w:ascii="Arial" w:hAnsi="Arial" w:cs="Arial"/>
          <w:sz w:val="20"/>
          <w:szCs w:val="20"/>
        </w:rPr>
      </w:pPr>
      <w:r>
        <w:rPr>
          <w:rFonts w:ascii="Arial" w:eastAsia="Times New Roman" w:hAnsi="Arial" w:cs="Arial"/>
          <w:b/>
          <w:color w:val="222222"/>
          <w:sz w:val="20"/>
          <w:szCs w:val="20"/>
          <w:lang w:val="uk-UA" w:eastAsia="ru-RU"/>
        </w:rPr>
        <w:t>План дій «Зелене місто» для м. Хмельницького (ПДЗМ)</w:t>
      </w:r>
      <w:r w:rsidR="005A0B77" w:rsidRPr="00514478">
        <w:rPr>
          <w:rFonts w:ascii="Arial" w:eastAsia="Times New Roman" w:hAnsi="Arial" w:cs="Arial"/>
          <w:b/>
          <w:color w:val="222222"/>
          <w:sz w:val="20"/>
          <w:szCs w:val="20"/>
          <w:lang w:eastAsia="ru-RU"/>
        </w:rPr>
        <w:t xml:space="preserve">: </w:t>
      </w:r>
      <w:r>
        <w:rPr>
          <w:rFonts w:ascii="Arial" w:eastAsia="Times New Roman" w:hAnsi="Arial" w:cs="Arial"/>
          <w:b/>
          <w:color w:val="222222"/>
          <w:sz w:val="20"/>
          <w:szCs w:val="20"/>
          <w:lang w:val="uk-UA" w:eastAsia="ru-RU"/>
        </w:rPr>
        <w:t>Базова лінія «Зеленого міста» - екологічні виклики та пріоритети</w:t>
      </w:r>
    </w:p>
    <w:p w:rsidR="004609E8" w:rsidRPr="00457DDF" w:rsidRDefault="004609E8" w:rsidP="004609E8">
      <w:pPr>
        <w:shd w:val="clear" w:color="auto" w:fill="FFFFFF"/>
        <w:spacing w:after="0" w:line="240" w:lineRule="auto"/>
        <w:rPr>
          <w:rFonts w:ascii="Tahoma" w:eastAsia="Times New Roman" w:hAnsi="Tahoma" w:cs="Tahoma"/>
          <w:sz w:val="20"/>
          <w:szCs w:val="20"/>
          <w:lang w:val="uk-UA" w:eastAsia="ru-RU"/>
        </w:rPr>
      </w:pPr>
      <w:r w:rsidRPr="00457DDF">
        <w:rPr>
          <w:rFonts w:ascii="Tahoma" w:eastAsia="Times New Roman" w:hAnsi="Tahoma" w:cs="Tahoma"/>
          <w:b/>
          <w:color w:val="222222"/>
          <w:sz w:val="20"/>
          <w:szCs w:val="20"/>
          <w:lang w:val="uk-UA" w:eastAsia="ru-RU"/>
        </w:rPr>
        <w:t>Дата проведення</w:t>
      </w:r>
      <w:r w:rsidRPr="00514478">
        <w:rPr>
          <w:rFonts w:ascii="Tahoma" w:eastAsia="Times New Roman" w:hAnsi="Tahoma" w:cs="Tahoma"/>
          <w:b/>
          <w:color w:val="222222"/>
          <w:sz w:val="20"/>
          <w:szCs w:val="20"/>
          <w:lang w:eastAsia="ru-RU"/>
        </w:rPr>
        <w:t>:</w:t>
      </w:r>
      <w:r w:rsidRPr="00514478">
        <w:rPr>
          <w:rFonts w:ascii="Tahoma" w:eastAsia="Times New Roman" w:hAnsi="Tahoma" w:cs="Tahoma"/>
          <w:color w:val="222222"/>
          <w:sz w:val="20"/>
          <w:szCs w:val="20"/>
          <w:lang w:eastAsia="ru-RU"/>
        </w:rPr>
        <w:t xml:space="preserve"> </w:t>
      </w:r>
      <w:r w:rsidRPr="00457DDF">
        <w:rPr>
          <w:rFonts w:ascii="Tahoma" w:eastAsia="Times New Roman" w:hAnsi="Tahoma" w:cs="Tahoma"/>
          <w:sz w:val="20"/>
          <w:szCs w:val="20"/>
          <w:lang w:val="uk-UA" w:eastAsia="ru-RU"/>
        </w:rPr>
        <w:t xml:space="preserve"> </w:t>
      </w:r>
      <w:r>
        <w:rPr>
          <w:rFonts w:ascii="Tahoma" w:eastAsia="Times New Roman" w:hAnsi="Tahoma" w:cs="Tahoma"/>
          <w:sz w:val="20"/>
          <w:szCs w:val="20"/>
          <w:lang w:val="uk-UA" w:eastAsia="ru-RU"/>
        </w:rPr>
        <w:t>26 серпня</w:t>
      </w:r>
      <w:r w:rsidRPr="00457DDF">
        <w:rPr>
          <w:rFonts w:ascii="Tahoma" w:eastAsia="Times New Roman" w:hAnsi="Tahoma" w:cs="Tahoma"/>
          <w:sz w:val="20"/>
          <w:szCs w:val="20"/>
          <w:lang w:val="uk-UA" w:eastAsia="ru-RU"/>
        </w:rPr>
        <w:t xml:space="preserve">, </w:t>
      </w:r>
      <w:r>
        <w:rPr>
          <w:rFonts w:ascii="Tahoma" w:eastAsia="Times New Roman" w:hAnsi="Tahoma" w:cs="Tahoma"/>
          <w:sz w:val="20"/>
          <w:szCs w:val="20"/>
          <w:lang w:val="uk-UA" w:eastAsia="ru-RU"/>
        </w:rPr>
        <w:t>10:30 -13:30</w:t>
      </w:r>
    </w:p>
    <w:p w:rsidR="004609E8" w:rsidRPr="002D00DD" w:rsidRDefault="004609E8" w:rsidP="004609E8">
      <w:pPr>
        <w:shd w:val="clear" w:color="auto" w:fill="FFFFFF"/>
        <w:spacing w:after="0" w:line="240" w:lineRule="auto"/>
        <w:rPr>
          <w:rFonts w:ascii="Tahoma" w:eastAsia="Times New Roman" w:hAnsi="Tahoma" w:cs="Tahoma"/>
          <w:color w:val="222222"/>
          <w:sz w:val="20"/>
          <w:szCs w:val="20"/>
          <w:lang w:val="uk-UA" w:eastAsia="ru-RU"/>
        </w:rPr>
      </w:pPr>
      <w:r w:rsidRPr="00457DDF">
        <w:rPr>
          <w:rFonts w:ascii="Tahoma" w:eastAsia="Times New Roman" w:hAnsi="Tahoma" w:cs="Tahoma"/>
          <w:b/>
          <w:color w:val="222222"/>
          <w:sz w:val="20"/>
          <w:szCs w:val="20"/>
          <w:lang w:val="uk-UA" w:eastAsia="ru-RU"/>
        </w:rPr>
        <w:t>Формат</w:t>
      </w:r>
      <w:r w:rsidRPr="002D00DD">
        <w:rPr>
          <w:rFonts w:ascii="Tahoma" w:eastAsia="Times New Roman" w:hAnsi="Tahoma" w:cs="Tahoma"/>
          <w:b/>
          <w:color w:val="222222"/>
          <w:sz w:val="20"/>
          <w:szCs w:val="20"/>
          <w:lang w:val="uk-UA" w:eastAsia="ru-RU"/>
        </w:rPr>
        <w:t xml:space="preserve"> / </w:t>
      </w:r>
      <w:r w:rsidRPr="00457DDF">
        <w:rPr>
          <w:rFonts w:ascii="Tahoma" w:eastAsia="Times New Roman" w:hAnsi="Tahoma" w:cs="Tahoma"/>
          <w:b/>
          <w:color w:val="222222"/>
          <w:sz w:val="20"/>
          <w:szCs w:val="20"/>
          <w:lang w:val="uk-UA" w:eastAsia="ru-RU"/>
        </w:rPr>
        <w:t>місце проведення</w:t>
      </w:r>
      <w:r w:rsidRPr="002D00DD">
        <w:rPr>
          <w:rFonts w:ascii="Tahoma" w:eastAsia="Times New Roman" w:hAnsi="Tahoma" w:cs="Tahoma"/>
          <w:color w:val="222222"/>
          <w:sz w:val="20"/>
          <w:szCs w:val="20"/>
          <w:lang w:val="uk-UA" w:eastAsia="ru-RU"/>
        </w:rPr>
        <w:t xml:space="preserve">: </w:t>
      </w:r>
      <w:r w:rsidR="00514478">
        <w:rPr>
          <w:rFonts w:ascii="Tahoma" w:eastAsia="Times New Roman" w:hAnsi="Tahoma" w:cs="Tahoma"/>
          <w:sz w:val="20"/>
          <w:szCs w:val="20"/>
          <w:lang w:val="uk-UA" w:eastAsia="ru-RU"/>
        </w:rPr>
        <w:t xml:space="preserve">онлайн </w:t>
      </w:r>
      <w:r w:rsidRPr="00457DDF">
        <w:rPr>
          <w:rFonts w:ascii="Tahoma" w:eastAsia="Times New Roman" w:hAnsi="Tahoma" w:cs="Tahoma"/>
          <w:sz w:val="20"/>
          <w:szCs w:val="20"/>
          <w:lang w:val="uk-UA" w:eastAsia="ru-RU"/>
        </w:rPr>
        <w:t>семінар (воркшоп)</w:t>
      </w:r>
      <w:r>
        <w:rPr>
          <w:rFonts w:ascii="Tahoma" w:eastAsia="Times New Roman" w:hAnsi="Tahoma" w:cs="Tahoma"/>
          <w:sz w:val="20"/>
          <w:szCs w:val="20"/>
          <w:lang w:val="uk-UA" w:eastAsia="ru-RU"/>
        </w:rPr>
        <w:t xml:space="preserve">, платформа </w:t>
      </w:r>
      <w:r w:rsidRPr="00457DDF">
        <w:rPr>
          <w:rFonts w:ascii="Tahoma" w:eastAsia="Times New Roman" w:hAnsi="Tahoma" w:cs="Tahoma"/>
          <w:color w:val="222222"/>
          <w:sz w:val="20"/>
          <w:szCs w:val="20"/>
          <w:lang w:val="en-US" w:eastAsia="ru-RU"/>
        </w:rPr>
        <w:t>ZOOM</w:t>
      </w:r>
      <w:r w:rsidRPr="002D00DD">
        <w:rPr>
          <w:rFonts w:ascii="Tahoma" w:eastAsia="Times New Roman" w:hAnsi="Tahoma" w:cs="Tahoma"/>
          <w:color w:val="222222"/>
          <w:sz w:val="20"/>
          <w:szCs w:val="20"/>
          <w:lang w:val="uk-UA" w:eastAsia="ru-RU"/>
        </w:rPr>
        <w:t>.</w:t>
      </w:r>
    </w:p>
    <w:p w:rsidR="005A0B77" w:rsidRPr="007C435A" w:rsidRDefault="00D370F3" w:rsidP="005D7297">
      <w:pPr>
        <w:spacing w:before="120" w:after="120" w:line="240" w:lineRule="auto"/>
        <w:jc w:val="both"/>
        <w:rPr>
          <w:rFonts w:ascii="Arial" w:hAnsi="Arial" w:cs="Arial"/>
          <w:sz w:val="20"/>
          <w:szCs w:val="20"/>
          <w:lang w:val="uk-UA"/>
        </w:rPr>
      </w:pPr>
      <w:r w:rsidRPr="007C435A">
        <w:rPr>
          <w:rFonts w:ascii="Arial" w:hAnsi="Arial" w:cs="Arial"/>
          <w:sz w:val="20"/>
          <w:szCs w:val="20"/>
          <w:lang w:val="uk-UA"/>
        </w:rPr>
        <w:t xml:space="preserve">Семінар-консультацію з зацікавленими сторонами було організовано на завершення етапу визначення базової лінії </w:t>
      </w:r>
      <w:r w:rsidRPr="007C435A">
        <w:rPr>
          <w:rFonts w:ascii="Arial" w:hAnsi="Arial" w:cs="Arial"/>
          <w:sz w:val="20"/>
          <w:szCs w:val="20"/>
          <w:lang w:val="uk-UA"/>
        </w:rPr>
        <w:t xml:space="preserve">(вихідних умов) </w:t>
      </w:r>
      <w:r w:rsidRPr="007C435A">
        <w:rPr>
          <w:rFonts w:ascii="Arial" w:hAnsi="Arial" w:cs="Arial"/>
          <w:sz w:val="20"/>
          <w:szCs w:val="20"/>
          <w:lang w:val="uk-UA"/>
        </w:rPr>
        <w:t xml:space="preserve">зеленого міста, який </w:t>
      </w:r>
      <w:r w:rsidRPr="007C435A">
        <w:rPr>
          <w:rFonts w:ascii="Arial" w:hAnsi="Arial" w:cs="Arial"/>
          <w:sz w:val="20"/>
          <w:szCs w:val="20"/>
          <w:lang w:val="uk-UA"/>
        </w:rPr>
        <w:t>потребує консультації з зацікавленими сторонами з метою підтвердження відповідності визначених викликів інтересам міської громади</w:t>
      </w:r>
      <w:r w:rsidRPr="007C435A">
        <w:rPr>
          <w:rFonts w:ascii="Arial" w:hAnsi="Arial" w:cs="Arial"/>
          <w:sz w:val="20"/>
          <w:szCs w:val="20"/>
          <w:lang w:val="uk-UA"/>
        </w:rPr>
        <w:t xml:space="preserve">.  </w:t>
      </w:r>
      <w:r w:rsidR="005A0B77" w:rsidRPr="007C435A">
        <w:rPr>
          <w:rFonts w:ascii="Arial" w:hAnsi="Arial" w:cs="Arial"/>
          <w:sz w:val="20"/>
          <w:szCs w:val="20"/>
          <w:lang w:val="uk-UA"/>
        </w:rPr>
        <w:t xml:space="preserve"> </w:t>
      </w:r>
    </w:p>
    <w:p w:rsidR="00514478" w:rsidRPr="00785CEC" w:rsidRDefault="00D370F3" w:rsidP="005D7297">
      <w:pPr>
        <w:spacing w:before="120" w:after="120" w:line="240" w:lineRule="auto"/>
        <w:jc w:val="both"/>
        <w:rPr>
          <w:rFonts w:ascii="Arial" w:hAnsi="Arial" w:cs="Arial"/>
          <w:sz w:val="20"/>
          <w:szCs w:val="20"/>
          <w:lang w:val="en-GB"/>
        </w:rPr>
      </w:pPr>
      <w:r w:rsidRPr="00AB6A3D">
        <w:rPr>
          <w:rFonts w:ascii="Arial" w:hAnsi="Arial" w:cs="Arial"/>
          <w:b/>
          <w:sz w:val="20"/>
          <w:szCs w:val="20"/>
          <w:lang w:val="uk-UA"/>
        </w:rPr>
        <w:t>Цілі та очікувані результати</w:t>
      </w:r>
      <w:r w:rsidRPr="00AB6A3D">
        <w:rPr>
          <w:rFonts w:ascii="Arial" w:hAnsi="Arial" w:cs="Arial"/>
          <w:sz w:val="20"/>
          <w:szCs w:val="20"/>
          <w:lang w:val="uk-UA"/>
        </w:rPr>
        <w:t xml:space="preserve">. </w:t>
      </w:r>
      <w:r w:rsidR="00514478" w:rsidRPr="00AB6A3D">
        <w:rPr>
          <w:rFonts w:ascii="Arial" w:hAnsi="Arial" w:cs="Arial"/>
          <w:sz w:val="20"/>
          <w:szCs w:val="20"/>
          <w:lang w:val="uk-UA"/>
        </w:rPr>
        <w:t>Ідея полягала в представленні висновків технічної оцінки та огляду зовнішніх рамкових умов –</w:t>
      </w:r>
      <w:r w:rsidR="00514478" w:rsidRPr="00785CEC">
        <w:rPr>
          <w:rFonts w:ascii="Arial" w:hAnsi="Arial" w:cs="Arial"/>
          <w:sz w:val="20"/>
          <w:szCs w:val="20"/>
          <w:lang w:val="en-GB"/>
        </w:rPr>
        <w:t xml:space="preserve"> стратегічних та політичних засад зеленого міста широкому колу зацікавлених сторін Зеленого міста з числа міської влади, місцевих експертів та громадянського суспільства; підтвердженні визначених ключових викликів «зеленого міста» та узгодженні їх пріоритетності; та заохоченні зацікавлених сторін брати активну участь у розробці ПДЗМ на наступних етапах. </w:t>
      </w:r>
    </w:p>
    <w:p w:rsidR="00D370F3" w:rsidRPr="00F45EC5" w:rsidRDefault="00D370F3" w:rsidP="005D7297">
      <w:pPr>
        <w:spacing w:before="120" w:after="120" w:line="240" w:lineRule="auto"/>
        <w:jc w:val="both"/>
        <w:rPr>
          <w:rFonts w:ascii="Arial" w:hAnsi="Arial" w:cs="Arial"/>
          <w:sz w:val="20"/>
          <w:szCs w:val="20"/>
          <w:lang w:val="uk-UA"/>
        </w:rPr>
      </w:pPr>
      <w:bookmarkStart w:id="0" w:name="_Hlk81577493"/>
      <w:r w:rsidRPr="00AB6A3D">
        <w:rPr>
          <w:rFonts w:ascii="Arial" w:hAnsi="Arial" w:cs="Arial"/>
          <w:sz w:val="20"/>
          <w:szCs w:val="20"/>
          <w:lang w:val="uk-UA"/>
        </w:rPr>
        <w:t xml:space="preserve">Очікуваним результатом семінару-консультації було забезпечити спільне бачення викликів </w:t>
      </w:r>
      <w:r w:rsidR="00F45EC5">
        <w:rPr>
          <w:rFonts w:ascii="Arial" w:hAnsi="Arial" w:cs="Arial"/>
          <w:sz w:val="20"/>
          <w:szCs w:val="20"/>
          <w:lang w:val="uk-UA"/>
        </w:rPr>
        <w:t>«з</w:t>
      </w:r>
      <w:r w:rsidRPr="00AB6A3D">
        <w:rPr>
          <w:rFonts w:ascii="Arial" w:hAnsi="Arial" w:cs="Arial"/>
          <w:sz w:val="20"/>
          <w:szCs w:val="20"/>
          <w:lang w:val="uk-UA"/>
        </w:rPr>
        <w:t>еленого міста</w:t>
      </w:r>
      <w:r w:rsidR="00F45EC5">
        <w:rPr>
          <w:rFonts w:ascii="Arial" w:hAnsi="Arial" w:cs="Arial"/>
          <w:sz w:val="20"/>
          <w:szCs w:val="20"/>
          <w:lang w:val="uk-UA"/>
        </w:rPr>
        <w:t>»</w:t>
      </w:r>
      <w:r w:rsidRPr="00AB6A3D">
        <w:rPr>
          <w:rFonts w:ascii="Arial" w:hAnsi="Arial" w:cs="Arial"/>
          <w:sz w:val="20"/>
          <w:szCs w:val="20"/>
          <w:lang w:val="uk-UA"/>
        </w:rPr>
        <w:t xml:space="preserve"> усіма зацікавленими сторонами, погодити </w:t>
      </w:r>
      <w:r w:rsidRPr="00F45EC5">
        <w:rPr>
          <w:rFonts w:ascii="Arial" w:hAnsi="Arial" w:cs="Arial"/>
          <w:sz w:val="20"/>
          <w:szCs w:val="20"/>
          <w:lang w:val="uk-UA"/>
        </w:rPr>
        <w:t xml:space="preserve">визначені пріоритетні ключові проблеми та можливі прогалини, які слід врахувати та заповнити. Консультація з зацікавленими сторонами також мала на меті сприяти </w:t>
      </w:r>
      <w:r w:rsidR="00F45EC5" w:rsidRPr="00F45EC5">
        <w:rPr>
          <w:rFonts w:ascii="Arial" w:hAnsi="Arial" w:cs="Arial"/>
          <w:sz w:val="20"/>
          <w:szCs w:val="20"/>
          <w:lang w:val="uk-UA"/>
        </w:rPr>
        <w:t>підтвердженн</w:t>
      </w:r>
      <w:r w:rsidR="00F45EC5" w:rsidRPr="00F45EC5">
        <w:rPr>
          <w:rFonts w:ascii="Arial" w:hAnsi="Arial" w:cs="Arial"/>
          <w:sz w:val="20"/>
          <w:szCs w:val="20"/>
          <w:lang w:val="uk-UA"/>
        </w:rPr>
        <w:t>ю</w:t>
      </w:r>
      <w:r w:rsidR="00F45EC5" w:rsidRPr="00F45EC5">
        <w:rPr>
          <w:rFonts w:ascii="Arial" w:hAnsi="Arial" w:cs="Arial"/>
          <w:sz w:val="20"/>
          <w:szCs w:val="20"/>
          <w:lang w:val="uk-UA"/>
        </w:rPr>
        <w:t xml:space="preserve"> </w:t>
      </w:r>
      <w:r w:rsidRPr="00F45EC5">
        <w:rPr>
          <w:rFonts w:ascii="Arial" w:hAnsi="Arial" w:cs="Arial"/>
          <w:sz w:val="20"/>
          <w:szCs w:val="20"/>
          <w:lang w:val="uk-UA"/>
        </w:rPr>
        <w:t>прихильності зацікавлених сторін ідеям ПДЗМ та готовності брати участь у подальшому розробленні та реалізації Плану дій.</w:t>
      </w:r>
    </w:p>
    <w:bookmarkEnd w:id="0"/>
    <w:p w:rsidR="00D370F3" w:rsidRPr="005841C6" w:rsidRDefault="00514478" w:rsidP="005D7297">
      <w:pPr>
        <w:spacing w:before="120" w:after="120" w:line="240" w:lineRule="auto"/>
        <w:jc w:val="both"/>
        <w:rPr>
          <w:rFonts w:ascii="Arial" w:hAnsi="Arial" w:cs="Arial"/>
          <w:sz w:val="20"/>
          <w:szCs w:val="20"/>
          <w:lang w:val="en-GB"/>
        </w:rPr>
      </w:pPr>
      <w:r>
        <w:rPr>
          <w:rFonts w:ascii="Arial" w:hAnsi="Arial" w:cs="Arial"/>
          <w:b/>
          <w:sz w:val="20"/>
          <w:szCs w:val="20"/>
          <w:lang w:val="uk-UA"/>
        </w:rPr>
        <w:t>Учасники</w:t>
      </w:r>
      <w:r w:rsidR="00D370F3" w:rsidRPr="005841C6">
        <w:rPr>
          <w:rFonts w:ascii="Arial" w:hAnsi="Arial" w:cs="Arial"/>
          <w:sz w:val="20"/>
          <w:szCs w:val="20"/>
          <w:lang w:val="en-GB"/>
        </w:rPr>
        <w:t xml:space="preserve">. </w:t>
      </w:r>
      <w:r w:rsidR="007C435A">
        <w:rPr>
          <w:rFonts w:ascii="Arial" w:hAnsi="Arial" w:cs="Arial"/>
          <w:sz w:val="20"/>
          <w:szCs w:val="20"/>
          <w:lang w:val="uk-UA"/>
        </w:rPr>
        <w:t xml:space="preserve">До участі у семінарі- консультації було запрошено понад 100 представників потенційних зацікавлених сторін з широкого кола організацій та установ, включно органи міської влади та самоврядування, надавачі муніципальних послуг, організації громадянського суспільства, бізнес. </w:t>
      </w:r>
      <w:r w:rsidR="00D370F3">
        <w:rPr>
          <w:rFonts w:ascii="Arial" w:hAnsi="Arial" w:cs="Arial"/>
          <w:sz w:val="20"/>
          <w:szCs w:val="20"/>
          <w:lang w:val="en-GB"/>
        </w:rPr>
        <w:t xml:space="preserve"> </w:t>
      </w:r>
      <w:r w:rsidR="00D370F3" w:rsidRPr="005841C6">
        <w:rPr>
          <w:rFonts w:ascii="Arial" w:hAnsi="Arial" w:cs="Arial"/>
          <w:sz w:val="20"/>
          <w:szCs w:val="20"/>
          <w:lang w:val="en-GB"/>
        </w:rPr>
        <w:t xml:space="preserve">80 </w:t>
      </w:r>
      <w:r w:rsidR="007C435A">
        <w:rPr>
          <w:rFonts w:ascii="Arial" w:hAnsi="Arial" w:cs="Arial"/>
          <w:sz w:val="20"/>
          <w:szCs w:val="20"/>
          <w:lang w:val="uk-UA"/>
        </w:rPr>
        <w:t>представників відповідних структурних підрозділів Хмельницької міської ради, комунальних підприємств та комунальних закладів, державних агенцій, освітніх та наукових закладів</w:t>
      </w:r>
      <w:r w:rsidR="00030C3E">
        <w:rPr>
          <w:rFonts w:ascii="Arial" w:hAnsi="Arial" w:cs="Arial"/>
          <w:sz w:val="20"/>
          <w:szCs w:val="20"/>
          <w:lang w:val="uk-UA"/>
        </w:rPr>
        <w:t xml:space="preserve"> та громадських організацій, ЄБРР та експерт</w:t>
      </w:r>
      <w:r w:rsidR="00F45EC5">
        <w:rPr>
          <w:rFonts w:ascii="Arial" w:hAnsi="Arial" w:cs="Arial"/>
          <w:sz w:val="20"/>
          <w:szCs w:val="20"/>
          <w:lang w:val="uk-UA"/>
        </w:rPr>
        <w:t>ів</w:t>
      </w:r>
      <w:r w:rsidR="00030C3E">
        <w:rPr>
          <w:rFonts w:ascii="Arial" w:hAnsi="Arial" w:cs="Arial"/>
          <w:sz w:val="20"/>
          <w:szCs w:val="20"/>
          <w:lang w:val="uk-UA"/>
        </w:rPr>
        <w:t xml:space="preserve"> компанії консультанта зареєструвались на захід через поширену гугл форму </w:t>
      </w:r>
      <w:r w:rsidR="00D370F3" w:rsidRPr="005841C6">
        <w:rPr>
          <w:rFonts w:ascii="Arial" w:hAnsi="Arial" w:cs="Arial"/>
          <w:sz w:val="20"/>
          <w:szCs w:val="20"/>
          <w:lang w:val="en-GB"/>
        </w:rPr>
        <w:t>(</w:t>
      </w:r>
      <w:r w:rsidR="00030C3E">
        <w:rPr>
          <w:rFonts w:ascii="Arial" w:hAnsi="Arial" w:cs="Arial"/>
          <w:sz w:val="20"/>
          <w:szCs w:val="20"/>
          <w:lang w:val="uk-UA"/>
        </w:rPr>
        <w:t xml:space="preserve">з них </w:t>
      </w:r>
      <w:r w:rsidR="00D370F3" w:rsidRPr="005841C6">
        <w:rPr>
          <w:rFonts w:ascii="Arial" w:hAnsi="Arial" w:cs="Arial"/>
          <w:sz w:val="20"/>
          <w:szCs w:val="20"/>
          <w:lang w:val="en-GB"/>
        </w:rPr>
        <w:t xml:space="preserve">44 - </w:t>
      </w:r>
      <w:r w:rsidR="00030C3E">
        <w:rPr>
          <w:rFonts w:ascii="Arial" w:hAnsi="Arial" w:cs="Arial"/>
          <w:sz w:val="20"/>
          <w:szCs w:val="20"/>
          <w:lang w:val="uk-UA"/>
        </w:rPr>
        <w:t>жінки</w:t>
      </w:r>
      <w:r w:rsidR="00D370F3" w:rsidRPr="005841C6">
        <w:rPr>
          <w:rFonts w:ascii="Arial" w:hAnsi="Arial" w:cs="Arial"/>
          <w:sz w:val="20"/>
          <w:szCs w:val="20"/>
          <w:lang w:val="en-GB"/>
        </w:rPr>
        <w:t xml:space="preserve">, 36 - </w:t>
      </w:r>
      <w:r w:rsidR="00030C3E">
        <w:rPr>
          <w:rFonts w:ascii="Arial" w:hAnsi="Arial" w:cs="Arial"/>
          <w:sz w:val="20"/>
          <w:szCs w:val="20"/>
          <w:lang w:val="uk-UA"/>
        </w:rPr>
        <w:t>чоловіки</w:t>
      </w:r>
      <w:r w:rsidR="00D370F3" w:rsidRPr="005841C6">
        <w:rPr>
          <w:rFonts w:ascii="Arial" w:hAnsi="Arial" w:cs="Arial"/>
          <w:sz w:val="20"/>
          <w:szCs w:val="20"/>
          <w:lang w:val="en-GB"/>
        </w:rPr>
        <w:t xml:space="preserve">), </w:t>
      </w:r>
      <w:r w:rsidR="00F45EC5">
        <w:rPr>
          <w:rFonts w:ascii="Arial" w:hAnsi="Arial" w:cs="Arial"/>
          <w:sz w:val="20"/>
          <w:szCs w:val="20"/>
          <w:lang w:val="uk-UA"/>
        </w:rPr>
        <w:t>в</w:t>
      </w:r>
      <w:r w:rsidR="00030C3E">
        <w:rPr>
          <w:rFonts w:ascii="Arial" w:hAnsi="Arial" w:cs="Arial"/>
          <w:sz w:val="20"/>
          <w:szCs w:val="20"/>
          <w:lang w:val="uk-UA"/>
        </w:rPr>
        <w:t xml:space="preserve">решті </w:t>
      </w:r>
      <w:r w:rsidR="00F45EC5">
        <w:rPr>
          <w:rFonts w:ascii="Arial" w:hAnsi="Arial" w:cs="Arial"/>
          <w:sz w:val="20"/>
          <w:szCs w:val="20"/>
          <w:lang w:val="uk-UA"/>
        </w:rPr>
        <w:t xml:space="preserve">решт </w:t>
      </w:r>
      <w:r w:rsidR="00D370F3">
        <w:rPr>
          <w:rFonts w:ascii="Arial" w:hAnsi="Arial" w:cs="Arial"/>
          <w:sz w:val="20"/>
          <w:szCs w:val="20"/>
          <w:lang w:val="en-GB"/>
        </w:rPr>
        <w:t>68</w:t>
      </w:r>
      <w:r w:rsidR="00D370F3" w:rsidRPr="005841C6">
        <w:rPr>
          <w:rFonts w:ascii="Arial" w:hAnsi="Arial" w:cs="Arial"/>
          <w:sz w:val="20"/>
          <w:szCs w:val="20"/>
          <w:lang w:val="en-GB"/>
        </w:rPr>
        <w:t xml:space="preserve"> </w:t>
      </w:r>
      <w:r w:rsidR="00030C3E">
        <w:rPr>
          <w:rFonts w:ascii="Arial" w:hAnsi="Arial" w:cs="Arial"/>
          <w:sz w:val="20"/>
          <w:szCs w:val="20"/>
          <w:lang w:val="uk-UA"/>
        </w:rPr>
        <w:t xml:space="preserve">учасників безпосередньо взяли участь онлайн </w:t>
      </w:r>
      <w:r w:rsidR="00D370F3">
        <w:rPr>
          <w:rFonts w:ascii="Arial" w:hAnsi="Arial" w:cs="Arial"/>
          <w:sz w:val="20"/>
          <w:szCs w:val="20"/>
          <w:lang w:val="en-GB"/>
        </w:rPr>
        <w:t xml:space="preserve">(30 </w:t>
      </w:r>
      <w:r w:rsidR="00030C3E">
        <w:rPr>
          <w:rFonts w:ascii="Arial" w:hAnsi="Arial" w:cs="Arial"/>
          <w:sz w:val="20"/>
          <w:szCs w:val="20"/>
          <w:lang w:val="uk-UA"/>
        </w:rPr>
        <w:t>чоловіків</w:t>
      </w:r>
      <w:r w:rsidR="00D370F3">
        <w:rPr>
          <w:rFonts w:ascii="Arial" w:hAnsi="Arial" w:cs="Arial"/>
          <w:sz w:val="20"/>
          <w:szCs w:val="20"/>
          <w:lang w:val="en-GB"/>
        </w:rPr>
        <w:t xml:space="preserve">, 38 </w:t>
      </w:r>
      <w:r w:rsidR="00030C3E">
        <w:rPr>
          <w:rFonts w:ascii="Arial" w:hAnsi="Arial" w:cs="Arial"/>
          <w:sz w:val="20"/>
          <w:szCs w:val="20"/>
          <w:lang w:val="uk-UA"/>
        </w:rPr>
        <w:t>жінок</w:t>
      </w:r>
      <w:r w:rsidR="00D370F3">
        <w:rPr>
          <w:rFonts w:ascii="Arial" w:hAnsi="Arial" w:cs="Arial"/>
          <w:sz w:val="20"/>
          <w:szCs w:val="20"/>
          <w:lang w:val="en-GB"/>
        </w:rPr>
        <w:t>).</w:t>
      </w:r>
    </w:p>
    <w:p w:rsidR="009D3966" w:rsidRPr="009D3966" w:rsidRDefault="009D3966" w:rsidP="005D7297">
      <w:pPr>
        <w:shd w:val="clear" w:color="auto" w:fill="FFFFFF"/>
        <w:spacing w:before="120" w:after="120" w:line="240" w:lineRule="auto"/>
        <w:jc w:val="both"/>
        <w:rPr>
          <w:rFonts w:ascii="Arial" w:hAnsi="Arial" w:cs="Arial"/>
          <w:sz w:val="20"/>
          <w:szCs w:val="20"/>
          <w:lang w:val="uk-UA"/>
        </w:rPr>
      </w:pPr>
      <w:r>
        <w:rPr>
          <w:rFonts w:ascii="Arial" w:hAnsi="Arial" w:cs="Arial"/>
          <w:b/>
          <w:sz w:val="20"/>
          <w:szCs w:val="20"/>
          <w:lang w:val="uk-UA"/>
        </w:rPr>
        <w:t>Формат</w:t>
      </w:r>
      <w:r w:rsidRPr="009D3966">
        <w:rPr>
          <w:rFonts w:ascii="Arial" w:hAnsi="Arial" w:cs="Arial"/>
          <w:b/>
          <w:sz w:val="20"/>
          <w:szCs w:val="20"/>
          <w:lang w:val="uk-UA"/>
        </w:rPr>
        <w:t>.</w:t>
      </w:r>
      <w:r w:rsidRPr="009D3966">
        <w:rPr>
          <w:rFonts w:ascii="Arial" w:hAnsi="Arial" w:cs="Arial"/>
          <w:sz w:val="20"/>
          <w:szCs w:val="20"/>
          <w:lang w:val="uk-UA"/>
        </w:rPr>
        <w:t xml:space="preserve"> Оскільки консультаційну сесію було проведено онлайн, програма заходу містила різні методи для забезпечення інтерактивності, співпраці та залученості, такі як презентації, модерована дискусія</w:t>
      </w:r>
      <w:r w:rsidR="00F45EC5">
        <w:rPr>
          <w:rFonts w:ascii="Arial" w:hAnsi="Arial" w:cs="Arial"/>
          <w:sz w:val="20"/>
          <w:szCs w:val="20"/>
          <w:lang w:val="uk-UA"/>
        </w:rPr>
        <w:t xml:space="preserve"> </w:t>
      </w:r>
      <w:r w:rsidRPr="009D3966">
        <w:rPr>
          <w:rFonts w:ascii="Arial" w:hAnsi="Arial" w:cs="Arial"/>
          <w:sz w:val="20"/>
          <w:szCs w:val="20"/>
          <w:lang w:val="uk-UA"/>
        </w:rPr>
        <w:t>в групах, пленарне загальне обговорення.</w:t>
      </w:r>
      <w:r>
        <w:rPr>
          <w:rFonts w:ascii="Arial" w:hAnsi="Arial" w:cs="Arial"/>
          <w:sz w:val="20"/>
          <w:szCs w:val="20"/>
          <w:lang w:val="uk-UA"/>
        </w:rPr>
        <w:t xml:space="preserve"> </w:t>
      </w:r>
      <w:r w:rsidRPr="009D3966">
        <w:rPr>
          <w:rFonts w:ascii="Arial" w:hAnsi="Arial" w:cs="Arial"/>
          <w:sz w:val="20"/>
          <w:szCs w:val="20"/>
          <w:lang w:val="uk-UA"/>
        </w:rPr>
        <w:t xml:space="preserve">Модерували дискусії в тематичних групах галузеві експерти проекту за підтримки колег з міської ради (представників координаційної ради </w:t>
      </w:r>
      <w:r w:rsidR="00F45EC5">
        <w:rPr>
          <w:rFonts w:ascii="Arial" w:hAnsi="Arial" w:cs="Arial"/>
          <w:sz w:val="20"/>
          <w:szCs w:val="20"/>
          <w:lang w:val="uk-UA"/>
        </w:rPr>
        <w:t xml:space="preserve"> та </w:t>
      </w:r>
      <w:r w:rsidRPr="009D3966">
        <w:rPr>
          <w:rFonts w:ascii="Arial" w:hAnsi="Arial" w:cs="Arial"/>
          <w:sz w:val="20"/>
          <w:szCs w:val="20"/>
          <w:lang w:val="uk-UA"/>
        </w:rPr>
        <w:t>експертної групи</w:t>
      </w:r>
      <w:r w:rsidR="00F45EC5">
        <w:rPr>
          <w:rFonts w:ascii="Arial" w:hAnsi="Arial" w:cs="Arial"/>
          <w:sz w:val="20"/>
          <w:szCs w:val="20"/>
          <w:lang w:val="uk-UA"/>
        </w:rPr>
        <w:t xml:space="preserve"> проекту</w:t>
      </w:r>
      <w:r w:rsidRPr="009D3966">
        <w:rPr>
          <w:rFonts w:ascii="Arial" w:hAnsi="Arial" w:cs="Arial"/>
          <w:sz w:val="20"/>
          <w:szCs w:val="20"/>
          <w:lang w:val="uk-UA"/>
        </w:rPr>
        <w:t>). Спільне модерування дискусії демонструє зацікавленим сторонам підхід до розроблення власного ПДЗМ у співпраці та за підтримки зовнішніх експертів.</w:t>
      </w:r>
    </w:p>
    <w:p w:rsidR="009D3966" w:rsidRPr="009D3966" w:rsidRDefault="009D3966" w:rsidP="005D7297">
      <w:pPr>
        <w:shd w:val="clear" w:color="auto" w:fill="FFFFFF"/>
        <w:spacing w:before="120" w:after="120" w:line="240" w:lineRule="auto"/>
        <w:jc w:val="both"/>
        <w:rPr>
          <w:rFonts w:ascii="Arial" w:hAnsi="Arial" w:cs="Arial"/>
          <w:sz w:val="20"/>
          <w:szCs w:val="20"/>
          <w:lang w:val="uk-UA"/>
        </w:rPr>
      </w:pPr>
      <w:r w:rsidRPr="009D3966">
        <w:rPr>
          <w:rFonts w:ascii="Arial" w:hAnsi="Arial" w:cs="Arial"/>
          <w:sz w:val="20"/>
          <w:szCs w:val="20"/>
          <w:lang w:val="uk-UA"/>
        </w:rPr>
        <w:t xml:space="preserve">Для конструктивної взаємно зрозумілої комунікації без жодних мовних бар’єрів компанією ATKINS забезпечено синхронний переклад. </w:t>
      </w:r>
    </w:p>
    <w:p w:rsidR="005A0B77" w:rsidRPr="00E4555E" w:rsidRDefault="00514478" w:rsidP="005D7297">
      <w:pPr>
        <w:shd w:val="clear" w:color="auto" w:fill="FFFFFF"/>
        <w:spacing w:before="120" w:after="120" w:line="240" w:lineRule="auto"/>
        <w:jc w:val="both"/>
        <w:rPr>
          <w:rFonts w:ascii="Arial" w:hAnsi="Arial" w:cs="Arial"/>
          <w:sz w:val="20"/>
          <w:szCs w:val="20"/>
          <w:lang w:val="uk-UA"/>
        </w:rPr>
      </w:pPr>
      <w:r w:rsidRPr="00E4555E">
        <w:rPr>
          <w:rFonts w:ascii="Arial" w:hAnsi="Arial" w:cs="Arial"/>
          <w:b/>
          <w:sz w:val="20"/>
          <w:szCs w:val="20"/>
          <w:lang w:val="uk-UA"/>
        </w:rPr>
        <w:t>П</w:t>
      </w:r>
      <w:r w:rsidRPr="00E4555E">
        <w:rPr>
          <w:rFonts w:ascii="Arial" w:hAnsi="Arial" w:cs="Arial"/>
          <w:b/>
          <w:sz w:val="20"/>
          <w:szCs w:val="20"/>
          <w:lang w:val="uk-UA"/>
        </w:rPr>
        <w:t>рограма</w:t>
      </w:r>
      <w:r w:rsidR="005A0B77" w:rsidRPr="00E4555E">
        <w:rPr>
          <w:rFonts w:ascii="Arial" w:hAnsi="Arial" w:cs="Arial"/>
          <w:b/>
          <w:sz w:val="20"/>
          <w:szCs w:val="20"/>
          <w:lang w:val="uk-UA"/>
        </w:rPr>
        <w:t>.</w:t>
      </w:r>
      <w:r w:rsidR="005A0B77" w:rsidRPr="00E4555E">
        <w:rPr>
          <w:rFonts w:ascii="Arial" w:hAnsi="Arial" w:cs="Arial"/>
          <w:sz w:val="20"/>
          <w:szCs w:val="20"/>
          <w:lang w:val="uk-UA"/>
        </w:rPr>
        <w:t xml:space="preserve"> </w:t>
      </w:r>
      <w:r w:rsidR="00E4555E" w:rsidRPr="00E4555E">
        <w:rPr>
          <w:rFonts w:ascii="Arial" w:hAnsi="Arial" w:cs="Arial"/>
          <w:sz w:val="20"/>
          <w:szCs w:val="20"/>
          <w:lang w:val="uk-UA"/>
        </w:rPr>
        <w:t>Учасникам було презентовано основні результати визначення базової лінії, технічної оцінки та спостережень зовнішніх рамкових умов «зеленого міста»; екологічні виклики, визначені на основі фактичних даних з урахуванням експрес онлайн опитування громадськості. Після чого основні результати були обговорені в 6 галузевих групах за тематичними напрямками ПДЗМ, зокрема</w:t>
      </w:r>
      <w:r w:rsidR="00E4555E">
        <w:rPr>
          <w:rFonts w:ascii="Arial" w:hAnsi="Arial" w:cs="Arial"/>
          <w:sz w:val="20"/>
          <w:szCs w:val="20"/>
          <w:lang w:val="uk-UA"/>
        </w:rPr>
        <w:t>:</w:t>
      </w:r>
      <w:r w:rsidR="00E4555E" w:rsidRPr="00E4555E">
        <w:rPr>
          <w:rFonts w:ascii="Arial" w:hAnsi="Arial" w:cs="Arial"/>
          <w:sz w:val="20"/>
          <w:szCs w:val="20"/>
          <w:lang w:val="uk-UA"/>
        </w:rPr>
        <w:t xml:space="preserve"> </w:t>
      </w:r>
      <w:r w:rsidR="005A0B77" w:rsidRPr="00E4555E">
        <w:rPr>
          <w:rFonts w:ascii="Arial" w:hAnsi="Arial" w:cs="Arial"/>
          <w:sz w:val="20"/>
          <w:szCs w:val="20"/>
          <w:lang w:val="uk-UA"/>
        </w:rPr>
        <w:t xml:space="preserve">(1) - </w:t>
      </w:r>
      <w:r w:rsidR="004609E8" w:rsidRPr="00E4555E">
        <w:rPr>
          <w:rFonts w:ascii="Arial" w:hAnsi="Arial" w:cs="Arial"/>
          <w:sz w:val="20"/>
          <w:szCs w:val="20"/>
          <w:lang w:val="uk-UA"/>
        </w:rPr>
        <w:t>Довкілля (включ</w:t>
      </w:r>
      <w:r w:rsidR="00F45EC5">
        <w:rPr>
          <w:rFonts w:ascii="Arial" w:hAnsi="Arial" w:cs="Arial"/>
          <w:sz w:val="20"/>
          <w:szCs w:val="20"/>
          <w:lang w:val="uk-UA"/>
        </w:rPr>
        <w:t>но</w:t>
      </w:r>
      <w:r w:rsidR="004609E8" w:rsidRPr="00E4555E">
        <w:rPr>
          <w:rFonts w:ascii="Arial" w:hAnsi="Arial" w:cs="Arial"/>
          <w:sz w:val="20"/>
          <w:szCs w:val="20"/>
          <w:lang w:val="uk-UA"/>
        </w:rPr>
        <w:t xml:space="preserve"> повітря, озеленення, адаптаці</w:t>
      </w:r>
      <w:r w:rsidR="00F45EC5">
        <w:rPr>
          <w:rFonts w:ascii="Arial" w:hAnsi="Arial" w:cs="Arial"/>
          <w:sz w:val="20"/>
          <w:szCs w:val="20"/>
          <w:lang w:val="uk-UA"/>
        </w:rPr>
        <w:t>я</w:t>
      </w:r>
      <w:r w:rsidR="004609E8" w:rsidRPr="00E4555E">
        <w:rPr>
          <w:rFonts w:ascii="Arial" w:hAnsi="Arial" w:cs="Arial"/>
          <w:sz w:val="20"/>
          <w:szCs w:val="20"/>
          <w:lang w:val="uk-UA"/>
        </w:rPr>
        <w:t xml:space="preserve"> та опірність змінам клімату, біорізноманіття, землекористування (містобудування, міський розвиток)</w:t>
      </w:r>
      <w:r w:rsidR="005A0B77" w:rsidRPr="00E4555E">
        <w:rPr>
          <w:rFonts w:ascii="Arial" w:hAnsi="Arial" w:cs="Arial"/>
          <w:sz w:val="20"/>
          <w:szCs w:val="20"/>
          <w:lang w:val="uk-UA"/>
        </w:rPr>
        <w:t xml:space="preserve">, (2) - </w:t>
      </w:r>
      <w:r w:rsidR="004609E8" w:rsidRPr="00E4555E">
        <w:rPr>
          <w:rFonts w:ascii="Arial" w:hAnsi="Arial" w:cs="Arial"/>
          <w:sz w:val="20"/>
          <w:szCs w:val="20"/>
          <w:lang w:val="uk-UA"/>
        </w:rPr>
        <w:t>Енергетика (включ</w:t>
      </w:r>
      <w:r w:rsidR="00F45EC5">
        <w:rPr>
          <w:rFonts w:ascii="Arial" w:hAnsi="Arial" w:cs="Arial"/>
          <w:sz w:val="20"/>
          <w:szCs w:val="20"/>
          <w:lang w:val="uk-UA"/>
        </w:rPr>
        <w:t>но</w:t>
      </w:r>
      <w:r w:rsidR="004609E8" w:rsidRPr="00E4555E">
        <w:rPr>
          <w:rFonts w:ascii="Arial" w:hAnsi="Arial" w:cs="Arial"/>
          <w:sz w:val="20"/>
          <w:szCs w:val="20"/>
          <w:lang w:val="uk-UA"/>
        </w:rPr>
        <w:t xml:space="preserve"> будівлі та промисловість)</w:t>
      </w:r>
      <w:r w:rsidR="005A0B77" w:rsidRPr="00E4555E">
        <w:rPr>
          <w:rFonts w:ascii="Arial" w:hAnsi="Arial" w:cs="Arial"/>
          <w:sz w:val="20"/>
          <w:szCs w:val="20"/>
          <w:lang w:val="uk-UA"/>
        </w:rPr>
        <w:t xml:space="preserve">, (3) - </w:t>
      </w:r>
      <w:r w:rsidR="004609E8" w:rsidRPr="00E4555E">
        <w:rPr>
          <w:rFonts w:ascii="Arial" w:hAnsi="Arial" w:cs="Arial"/>
          <w:sz w:val="20"/>
          <w:szCs w:val="20"/>
          <w:lang w:val="uk-UA"/>
        </w:rPr>
        <w:t>Вода (водні об’єкти та інфраструктура)</w:t>
      </w:r>
      <w:r w:rsidR="005A0B77" w:rsidRPr="00E4555E">
        <w:rPr>
          <w:rFonts w:ascii="Arial" w:hAnsi="Arial" w:cs="Arial"/>
          <w:sz w:val="20"/>
          <w:szCs w:val="20"/>
          <w:lang w:val="uk-UA"/>
        </w:rPr>
        <w:t xml:space="preserve">, (4) - </w:t>
      </w:r>
      <w:r w:rsidR="004609E8" w:rsidRPr="00E4555E">
        <w:rPr>
          <w:rFonts w:ascii="Arial" w:hAnsi="Arial" w:cs="Arial"/>
          <w:sz w:val="20"/>
          <w:szCs w:val="20"/>
          <w:lang w:val="uk-UA"/>
        </w:rPr>
        <w:t>Тверді побутові відходи</w:t>
      </w:r>
      <w:r w:rsidR="005A0B77" w:rsidRPr="00E4555E">
        <w:rPr>
          <w:rFonts w:ascii="Arial" w:hAnsi="Arial" w:cs="Arial"/>
          <w:sz w:val="20"/>
          <w:szCs w:val="20"/>
          <w:lang w:val="uk-UA"/>
        </w:rPr>
        <w:t xml:space="preserve">, (5) - </w:t>
      </w:r>
      <w:r w:rsidR="004609E8" w:rsidRPr="00E4555E">
        <w:rPr>
          <w:rFonts w:ascii="Arial" w:hAnsi="Arial" w:cs="Arial"/>
          <w:sz w:val="20"/>
          <w:szCs w:val="20"/>
          <w:lang w:val="uk-UA"/>
        </w:rPr>
        <w:t xml:space="preserve">Транспорт та мобільність </w:t>
      </w:r>
      <w:r w:rsidR="004609E8" w:rsidRPr="00E4555E">
        <w:rPr>
          <w:rFonts w:ascii="Arial" w:hAnsi="Arial" w:cs="Arial"/>
          <w:sz w:val="20"/>
          <w:szCs w:val="20"/>
          <w:lang w:val="uk-UA"/>
        </w:rPr>
        <w:t xml:space="preserve">та </w:t>
      </w:r>
      <w:r w:rsidR="005A0B77" w:rsidRPr="00E4555E">
        <w:rPr>
          <w:rFonts w:ascii="Arial" w:hAnsi="Arial" w:cs="Arial"/>
          <w:sz w:val="20"/>
          <w:szCs w:val="20"/>
          <w:lang w:val="uk-UA"/>
        </w:rPr>
        <w:t xml:space="preserve">(6) - </w:t>
      </w:r>
      <w:r w:rsidR="004609E8" w:rsidRPr="00E4555E">
        <w:rPr>
          <w:rFonts w:ascii="Arial" w:hAnsi="Arial" w:cs="Arial"/>
          <w:sz w:val="20"/>
          <w:szCs w:val="20"/>
          <w:lang w:val="uk-UA"/>
        </w:rPr>
        <w:t>Соціально-економічні та гендерні аспекти міста</w:t>
      </w:r>
      <w:r w:rsidR="005A0B77" w:rsidRPr="00E4555E">
        <w:rPr>
          <w:rFonts w:ascii="Arial" w:hAnsi="Arial" w:cs="Arial"/>
          <w:sz w:val="20"/>
          <w:szCs w:val="20"/>
          <w:lang w:val="uk-UA"/>
        </w:rPr>
        <w:t xml:space="preserve">.  </w:t>
      </w:r>
    </w:p>
    <w:p w:rsidR="007A1210" w:rsidRDefault="007A1210" w:rsidP="005D7297">
      <w:pPr>
        <w:shd w:val="clear" w:color="auto" w:fill="FFFFFF"/>
        <w:spacing w:before="120" w:after="12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Після обговорення в групах учасники поділились думками та висловили свої рекомендації у пленарній загальній сесії, що дозволило визначити наступні кроки для завершення етапу базової лінії (вихідного стану) зеленого міста. </w:t>
      </w:r>
    </w:p>
    <w:p w:rsidR="00823221" w:rsidRDefault="001F73AA" w:rsidP="005D7297">
      <w:pPr>
        <w:shd w:val="clear" w:color="auto" w:fill="FFFFFF"/>
        <w:spacing w:before="120" w:after="120" w:line="240" w:lineRule="auto"/>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Щоб консультація була змістовною, усім зареєстрованим учасникам заздалегідь було надіслано </w:t>
      </w:r>
      <w:r w:rsidR="00823221">
        <w:rPr>
          <w:rFonts w:ascii="Arial" w:eastAsia="Times New Roman" w:hAnsi="Arial" w:cs="Arial"/>
          <w:sz w:val="20"/>
          <w:szCs w:val="20"/>
          <w:lang w:val="uk-UA" w:eastAsia="ru-RU"/>
        </w:rPr>
        <w:t xml:space="preserve">для попереднього ознайомлення короткий варіант технічної оцінки. Матеріали презентації також були надіслані після консультації усім зареєстрованим учасникам: усім зацікавленим сторонам було дано рівні можливості надати відповідні письмові зауваження та пропозиції для врахування на подальшому етапі розроблення ПДЗМ. </w:t>
      </w:r>
    </w:p>
    <w:p w:rsidR="005A0B77" w:rsidRPr="00823221" w:rsidRDefault="001F73AA" w:rsidP="005D7297">
      <w:pPr>
        <w:shd w:val="clear" w:color="auto" w:fill="FFFFFF"/>
        <w:spacing w:before="120" w:after="120" w:line="240" w:lineRule="auto"/>
        <w:jc w:val="both"/>
        <w:rPr>
          <w:rFonts w:ascii="Arial" w:eastAsia="Times New Roman" w:hAnsi="Arial" w:cs="Arial"/>
          <w:sz w:val="20"/>
          <w:szCs w:val="20"/>
          <w:lang w:eastAsia="ru-RU"/>
        </w:rPr>
      </w:pPr>
      <w:r>
        <w:rPr>
          <w:rFonts w:ascii="Arial" w:eastAsia="Times New Roman" w:hAnsi="Arial" w:cs="Arial"/>
          <w:b/>
          <w:sz w:val="20"/>
          <w:szCs w:val="20"/>
          <w:lang w:val="uk-UA" w:eastAsia="ru-RU"/>
        </w:rPr>
        <w:lastRenderedPageBreak/>
        <w:t>Загальний відгук</w:t>
      </w:r>
      <w:r w:rsidR="005A0B77">
        <w:rPr>
          <w:rFonts w:ascii="Arial" w:eastAsia="Times New Roman" w:hAnsi="Arial" w:cs="Arial"/>
          <w:sz w:val="20"/>
          <w:szCs w:val="20"/>
          <w:lang w:val="en-US" w:eastAsia="ru-RU"/>
        </w:rPr>
        <w:t xml:space="preserve">. </w:t>
      </w:r>
      <w:r w:rsidR="00823221">
        <w:rPr>
          <w:rFonts w:ascii="Arial" w:eastAsia="Times New Roman" w:hAnsi="Arial" w:cs="Arial"/>
          <w:sz w:val="20"/>
          <w:szCs w:val="20"/>
          <w:lang w:val="uk-UA" w:eastAsia="ru-RU"/>
        </w:rPr>
        <w:t>Атмосфера семінару-консультації була позитивною та конструктивною. В цілому, презентовані результати узгоджені з учасниками, та досягнуто домовленостей щодо аспектів, які потребують уточнення та прояснення.</w:t>
      </w:r>
    </w:p>
    <w:p w:rsidR="005A0B77" w:rsidRDefault="00823221" w:rsidP="005A0B77">
      <w:pPr>
        <w:shd w:val="clear" w:color="auto" w:fill="FFFFFF"/>
        <w:spacing w:after="0" w:line="240" w:lineRule="auto"/>
        <w:jc w:val="both"/>
        <w:rPr>
          <w:rFonts w:ascii="Arial" w:hAnsi="Arial" w:cs="Arial"/>
          <w:b/>
          <w:sz w:val="20"/>
          <w:szCs w:val="20"/>
          <w:lang w:val="en-US"/>
        </w:rPr>
      </w:pPr>
      <w:r>
        <w:rPr>
          <w:rFonts w:ascii="Arial" w:hAnsi="Arial" w:cs="Arial"/>
          <w:b/>
          <w:sz w:val="20"/>
          <w:szCs w:val="20"/>
          <w:lang w:val="uk-UA"/>
        </w:rPr>
        <w:t>Основні спостереження та висновки</w:t>
      </w:r>
      <w:r w:rsidR="005A0B77" w:rsidRPr="003C019A">
        <w:rPr>
          <w:rFonts w:ascii="Arial" w:hAnsi="Arial" w:cs="Arial"/>
          <w:b/>
          <w:sz w:val="20"/>
          <w:szCs w:val="20"/>
          <w:lang w:val="en-US"/>
        </w:rPr>
        <w:t xml:space="preserve">: </w:t>
      </w:r>
    </w:p>
    <w:p w:rsidR="00AB6A3D" w:rsidRDefault="00AB6A3D" w:rsidP="005A0B77">
      <w:pPr>
        <w:shd w:val="clear" w:color="auto" w:fill="FFFFFF"/>
        <w:spacing w:after="0" w:line="240" w:lineRule="auto"/>
        <w:jc w:val="both"/>
        <w:rPr>
          <w:rFonts w:ascii="Arial" w:hAnsi="Arial" w:cs="Arial"/>
          <w:b/>
          <w:sz w:val="20"/>
          <w:szCs w:val="20"/>
          <w:lang w:val="en-US"/>
        </w:rPr>
      </w:pPr>
    </w:p>
    <w:p w:rsidR="005A0B77" w:rsidRPr="00AB6A3D" w:rsidRDefault="00AB6A3D" w:rsidP="00F45EC5">
      <w:pPr>
        <w:pStyle w:val="a3"/>
        <w:numPr>
          <w:ilvl w:val="0"/>
          <w:numId w:val="5"/>
        </w:numPr>
        <w:shd w:val="clear" w:color="auto" w:fill="FFFFFF"/>
        <w:spacing w:before="60" w:after="60" w:line="240" w:lineRule="auto"/>
        <w:ind w:left="284" w:hanging="284"/>
        <w:contextualSpacing w:val="0"/>
        <w:jc w:val="both"/>
        <w:rPr>
          <w:rFonts w:ascii="Arial" w:hAnsi="Arial" w:cs="Arial"/>
          <w:sz w:val="20"/>
          <w:szCs w:val="20"/>
          <w:lang w:val="uk-UA"/>
        </w:rPr>
      </w:pPr>
      <w:r w:rsidRPr="00AB6A3D">
        <w:rPr>
          <w:rFonts w:ascii="Arial" w:hAnsi="Arial" w:cs="Arial"/>
          <w:sz w:val="20"/>
          <w:szCs w:val="20"/>
          <w:lang w:val="uk-UA"/>
        </w:rPr>
        <w:t>У</w:t>
      </w:r>
      <w:r w:rsidRPr="00AB6A3D">
        <w:rPr>
          <w:rFonts w:ascii="Arial" w:hAnsi="Arial" w:cs="Arial"/>
          <w:sz w:val="20"/>
          <w:szCs w:val="20"/>
          <w:lang w:val="uk-UA"/>
        </w:rPr>
        <w:t xml:space="preserve"> </w:t>
      </w:r>
      <w:r w:rsidRPr="00AB6A3D">
        <w:rPr>
          <w:rFonts w:ascii="Arial" w:hAnsi="Arial" w:cs="Arial"/>
          <w:sz w:val="20"/>
          <w:szCs w:val="20"/>
          <w:lang w:val="uk-UA"/>
        </w:rPr>
        <w:t>фокус</w:t>
      </w:r>
      <w:r w:rsidRPr="00AB6A3D">
        <w:rPr>
          <w:rFonts w:ascii="Arial" w:hAnsi="Arial" w:cs="Arial"/>
          <w:sz w:val="20"/>
          <w:szCs w:val="20"/>
          <w:lang w:val="uk-UA"/>
        </w:rPr>
        <w:t>-</w:t>
      </w:r>
      <w:r w:rsidRPr="00AB6A3D">
        <w:rPr>
          <w:rFonts w:ascii="Arial" w:hAnsi="Arial" w:cs="Arial"/>
          <w:sz w:val="20"/>
          <w:szCs w:val="20"/>
          <w:lang w:val="uk-UA"/>
        </w:rPr>
        <w:t>групах за тематичними напрямами обговорено презентовані учасникам здобутки технічної оцінки. Зацікавлені сторони запросили пояснення кількісних показників та аргументацію ранжування пріоритетності</w:t>
      </w:r>
      <w:r w:rsidR="005A0B77" w:rsidRPr="00AB6A3D">
        <w:rPr>
          <w:rFonts w:ascii="Arial" w:hAnsi="Arial" w:cs="Arial"/>
          <w:sz w:val="20"/>
          <w:szCs w:val="20"/>
          <w:lang w:val="uk-UA"/>
        </w:rPr>
        <w:t>.</w:t>
      </w:r>
    </w:p>
    <w:p w:rsidR="00AB6A3D" w:rsidRPr="00AB6A3D" w:rsidRDefault="00AB6A3D" w:rsidP="00F45EC5">
      <w:pPr>
        <w:pStyle w:val="a3"/>
        <w:numPr>
          <w:ilvl w:val="0"/>
          <w:numId w:val="5"/>
        </w:numPr>
        <w:shd w:val="clear" w:color="auto" w:fill="FFFFFF"/>
        <w:spacing w:before="60" w:after="60" w:line="240" w:lineRule="auto"/>
        <w:ind w:left="284" w:hanging="284"/>
        <w:contextualSpacing w:val="0"/>
        <w:jc w:val="both"/>
        <w:rPr>
          <w:rFonts w:ascii="Arial" w:hAnsi="Arial" w:cs="Arial"/>
          <w:sz w:val="20"/>
          <w:szCs w:val="20"/>
          <w:lang w:val="uk-UA"/>
        </w:rPr>
      </w:pPr>
      <w:r w:rsidRPr="00AB6A3D">
        <w:rPr>
          <w:rFonts w:ascii="Arial" w:hAnsi="Arial" w:cs="Arial"/>
          <w:sz w:val="20"/>
          <w:szCs w:val="20"/>
          <w:lang w:val="uk-UA"/>
        </w:rPr>
        <w:t xml:space="preserve">В подальшому на групове обговорення рекомендовано виділяти більше часу з огляду на групи з більшою кількістю учасників. Група «Довкілля» містить багато питань, які є міжсекторальними, а отже, більше учасників долучається до обговорення, що вимагає більше часу. </w:t>
      </w:r>
    </w:p>
    <w:p w:rsidR="005A0B77" w:rsidRPr="00AB6A3D" w:rsidRDefault="00AB6A3D" w:rsidP="00F45EC5">
      <w:pPr>
        <w:pStyle w:val="a3"/>
        <w:numPr>
          <w:ilvl w:val="0"/>
          <w:numId w:val="5"/>
        </w:numPr>
        <w:shd w:val="clear" w:color="auto" w:fill="FFFFFF"/>
        <w:spacing w:before="60" w:after="60" w:line="240" w:lineRule="auto"/>
        <w:ind w:left="284" w:hanging="284"/>
        <w:contextualSpacing w:val="0"/>
        <w:jc w:val="both"/>
        <w:rPr>
          <w:rFonts w:ascii="Arial" w:hAnsi="Arial" w:cs="Arial"/>
          <w:sz w:val="20"/>
          <w:szCs w:val="20"/>
          <w:lang w:val="uk-UA"/>
        </w:rPr>
      </w:pPr>
      <w:r w:rsidRPr="00AB6A3D">
        <w:rPr>
          <w:rFonts w:ascii="Arial" w:hAnsi="Arial" w:cs="Arial"/>
          <w:sz w:val="20"/>
          <w:szCs w:val="20"/>
          <w:lang w:val="uk-UA"/>
        </w:rPr>
        <w:t>Кількісно-якісна оцінка за уніфікованою європейською методологією чітко окреслила потребу в термінових діях щодо стану повітря, якості води в водоймах міста, критичного стану з зеленими насадженнями, необхідністю формувати опірність наслідкам природних катастроф та адаптуватись до змін клімату</w:t>
      </w:r>
      <w:r w:rsidR="005A0B77" w:rsidRPr="00AB6A3D">
        <w:rPr>
          <w:rFonts w:ascii="Arial" w:hAnsi="Arial" w:cs="Arial"/>
          <w:sz w:val="20"/>
          <w:szCs w:val="20"/>
          <w:lang w:val="uk-UA"/>
        </w:rPr>
        <w:t>.</w:t>
      </w:r>
    </w:p>
    <w:p w:rsidR="00AB6A3D" w:rsidRPr="00C800EE" w:rsidRDefault="00AB6A3D" w:rsidP="00F45EC5">
      <w:pPr>
        <w:pStyle w:val="a3"/>
        <w:numPr>
          <w:ilvl w:val="0"/>
          <w:numId w:val="5"/>
        </w:numPr>
        <w:shd w:val="clear" w:color="auto" w:fill="FFFFFF"/>
        <w:spacing w:before="60" w:after="60" w:line="240" w:lineRule="auto"/>
        <w:ind w:left="284" w:hanging="284"/>
        <w:contextualSpacing w:val="0"/>
        <w:jc w:val="both"/>
        <w:rPr>
          <w:rFonts w:ascii="Arial" w:hAnsi="Arial" w:cs="Arial"/>
          <w:sz w:val="20"/>
          <w:szCs w:val="20"/>
        </w:rPr>
      </w:pPr>
      <w:r>
        <w:rPr>
          <w:rFonts w:ascii="Arial" w:hAnsi="Arial" w:cs="Arial"/>
          <w:sz w:val="20"/>
          <w:szCs w:val="20"/>
          <w:lang w:val="uk-UA"/>
        </w:rPr>
        <w:t xml:space="preserve">Нижче зазначено наступні </w:t>
      </w:r>
      <w:r w:rsidR="00C800EE">
        <w:rPr>
          <w:rFonts w:ascii="Arial" w:hAnsi="Arial" w:cs="Arial"/>
          <w:sz w:val="20"/>
          <w:szCs w:val="20"/>
          <w:lang w:val="uk-UA"/>
        </w:rPr>
        <w:t xml:space="preserve">спостереження за окремими секторами: </w:t>
      </w:r>
    </w:p>
    <w:p w:rsidR="00005AA2" w:rsidRPr="00005AA2" w:rsidRDefault="00005AA2" w:rsidP="00F45EC5">
      <w:pPr>
        <w:pStyle w:val="a3"/>
        <w:numPr>
          <w:ilvl w:val="1"/>
          <w:numId w:val="5"/>
        </w:numPr>
        <w:spacing w:before="60" w:after="60" w:line="240" w:lineRule="auto"/>
        <w:ind w:left="567" w:hanging="283"/>
        <w:contextualSpacing w:val="0"/>
        <w:jc w:val="both"/>
        <w:rPr>
          <w:rFonts w:ascii="Arial" w:eastAsia="Times New Roman" w:hAnsi="Arial" w:cs="Arial"/>
          <w:sz w:val="20"/>
          <w:szCs w:val="20"/>
          <w:lang w:val="uk-UA" w:eastAsia="ru-RU"/>
        </w:rPr>
      </w:pPr>
      <w:r w:rsidRPr="00322A02">
        <w:rPr>
          <w:rFonts w:ascii="Arial" w:eastAsia="Times New Roman" w:hAnsi="Arial" w:cs="Arial"/>
          <w:b/>
          <w:sz w:val="20"/>
          <w:szCs w:val="20"/>
          <w:lang w:val="uk-UA" w:eastAsia="ru-RU"/>
        </w:rPr>
        <w:t>ДОВКІЛЛЯ.</w:t>
      </w:r>
      <w:r w:rsidRPr="00005AA2">
        <w:rPr>
          <w:rFonts w:ascii="Arial" w:eastAsia="Times New Roman" w:hAnsi="Arial" w:cs="Arial"/>
          <w:sz w:val="20"/>
          <w:szCs w:val="20"/>
          <w:lang w:val="uk-UA" w:eastAsia="ru-RU"/>
        </w:rPr>
        <w:t xml:space="preserve"> Підтверджено високий пріоритет якості повітря, найвищий пріоритет віддано стану зелених зон. Зафіксовано необхідність перенесення викликів біорізноманіття до жовтої категорії. Адаптація та опірність так само визначені зацікавленими сторонами як зона більш високої пріоритетності. Ці питання потребують глибокого вивчення для уможливлення вироблення правильної політики упередження та підвищення стійкості до потенційних лих.  </w:t>
      </w:r>
    </w:p>
    <w:p w:rsidR="00005AA2" w:rsidRPr="00005AA2" w:rsidRDefault="00005AA2" w:rsidP="00F45EC5">
      <w:pPr>
        <w:pStyle w:val="a3"/>
        <w:numPr>
          <w:ilvl w:val="1"/>
          <w:numId w:val="5"/>
        </w:numPr>
        <w:spacing w:before="60" w:after="60" w:line="240" w:lineRule="auto"/>
        <w:ind w:left="567" w:hanging="283"/>
        <w:contextualSpacing w:val="0"/>
        <w:jc w:val="both"/>
        <w:rPr>
          <w:rFonts w:ascii="Arial" w:eastAsia="Times New Roman" w:hAnsi="Arial" w:cs="Arial"/>
          <w:sz w:val="20"/>
          <w:szCs w:val="20"/>
          <w:lang w:val="uk-UA" w:eastAsia="ru-RU"/>
        </w:rPr>
      </w:pPr>
      <w:r w:rsidRPr="00322A02">
        <w:rPr>
          <w:rFonts w:ascii="Arial" w:eastAsia="Times New Roman" w:hAnsi="Arial" w:cs="Arial"/>
          <w:b/>
          <w:sz w:val="20"/>
          <w:szCs w:val="20"/>
          <w:lang w:val="uk-UA" w:eastAsia="ru-RU"/>
        </w:rPr>
        <w:t>ВОДА</w:t>
      </w:r>
      <w:r w:rsidRPr="00005AA2">
        <w:rPr>
          <w:rFonts w:ascii="Arial" w:eastAsia="Times New Roman" w:hAnsi="Arial" w:cs="Arial"/>
          <w:sz w:val="20"/>
          <w:szCs w:val="20"/>
          <w:lang w:val="uk-UA" w:eastAsia="ru-RU"/>
        </w:rPr>
        <w:t>. Існує потреба переглянути індикатори індексу споживання</w:t>
      </w:r>
      <w:r w:rsidRPr="00005AA2">
        <w:rPr>
          <w:rFonts w:ascii="Arial" w:eastAsia="Times New Roman" w:hAnsi="Arial" w:cs="Arial"/>
          <w:sz w:val="20"/>
          <w:szCs w:val="20"/>
          <w:lang w:val="uk-UA" w:eastAsia="ru-RU"/>
        </w:rPr>
        <w:t xml:space="preserve"> води</w:t>
      </w:r>
      <w:r w:rsidRPr="00005AA2">
        <w:rPr>
          <w:rFonts w:ascii="Arial" w:eastAsia="Times New Roman" w:hAnsi="Arial" w:cs="Arial"/>
          <w:sz w:val="20"/>
          <w:szCs w:val="20"/>
          <w:lang w:val="uk-UA" w:eastAsia="ru-RU"/>
        </w:rPr>
        <w:t>. Щодо кількості та якості води формально місто забезпечене ресурсами, але стан водопровідної мережі потребує модернізації для запобігання загостренню проблем з якістю води</w:t>
      </w:r>
      <w:r w:rsidRPr="00005AA2">
        <w:rPr>
          <w:rFonts w:ascii="Arial" w:eastAsia="Times New Roman" w:hAnsi="Arial" w:cs="Arial"/>
          <w:sz w:val="20"/>
          <w:szCs w:val="20"/>
          <w:lang w:val="uk-UA" w:eastAsia="ru-RU"/>
        </w:rPr>
        <w:t>.</w:t>
      </w:r>
    </w:p>
    <w:p w:rsidR="00005AA2" w:rsidRPr="00005AA2" w:rsidRDefault="00005AA2" w:rsidP="00F45EC5">
      <w:pPr>
        <w:pStyle w:val="a3"/>
        <w:numPr>
          <w:ilvl w:val="1"/>
          <w:numId w:val="5"/>
        </w:numPr>
        <w:spacing w:before="60" w:after="60" w:line="240" w:lineRule="auto"/>
        <w:ind w:left="567" w:hanging="283"/>
        <w:contextualSpacing w:val="0"/>
        <w:jc w:val="both"/>
        <w:rPr>
          <w:rFonts w:ascii="Arial" w:eastAsia="Times New Roman" w:hAnsi="Arial" w:cs="Arial"/>
          <w:sz w:val="20"/>
          <w:szCs w:val="20"/>
          <w:lang w:val="uk-UA" w:eastAsia="ru-RU"/>
        </w:rPr>
      </w:pPr>
      <w:r w:rsidRPr="00322A02">
        <w:rPr>
          <w:rFonts w:ascii="Arial" w:eastAsia="Times New Roman" w:hAnsi="Arial" w:cs="Arial"/>
          <w:b/>
          <w:sz w:val="20"/>
          <w:szCs w:val="20"/>
          <w:lang w:val="uk-UA" w:eastAsia="ru-RU"/>
        </w:rPr>
        <w:t>ЕНЕРГЕТИКА</w:t>
      </w:r>
      <w:r w:rsidRPr="00005AA2">
        <w:rPr>
          <w:rFonts w:ascii="Arial" w:eastAsia="Times New Roman" w:hAnsi="Arial" w:cs="Arial"/>
          <w:sz w:val="20"/>
          <w:szCs w:val="20"/>
          <w:lang w:val="uk-UA" w:eastAsia="ru-RU"/>
        </w:rPr>
        <w:t xml:space="preserve">. В цілому попередню оцінку підтверджено, але потребують уточнення та коригування деякі індикатори. Є потреба в більш тісній співпраці та долученні Обленерго. </w:t>
      </w:r>
    </w:p>
    <w:p w:rsidR="00005AA2" w:rsidRPr="00005AA2" w:rsidRDefault="00005AA2" w:rsidP="00F45EC5">
      <w:pPr>
        <w:pStyle w:val="a3"/>
        <w:numPr>
          <w:ilvl w:val="1"/>
          <w:numId w:val="5"/>
        </w:numPr>
        <w:spacing w:before="60" w:after="60" w:line="240" w:lineRule="auto"/>
        <w:ind w:left="567" w:hanging="283"/>
        <w:contextualSpacing w:val="0"/>
        <w:jc w:val="both"/>
        <w:rPr>
          <w:rFonts w:ascii="Arial" w:eastAsia="Times New Roman" w:hAnsi="Arial" w:cs="Arial"/>
          <w:sz w:val="20"/>
          <w:szCs w:val="20"/>
          <w:lang w:val="uk-UA" w:eastAsia="ru-RU"/>
        </w:rPr>
      </w:pPr>
      <w:r w:rsidRPr="00322A02">
        <w:rPr>
          <w:rFonts w:ascii="Arial" w:eastAsia="Times New Roman" w:hAnsi="Arial" w:cs="Arial"/>
          <w:b/>
          <w:sz w:val="20"/>
          <w:szCs w:val="20"/>
          <w:lang w:val="uk-UA" w:eastAsia="ru-RU"/>
        </w:rPr>
        <w:t xml:space="preserve">ТВЕРДІ </w:t>
      </w:r>
      <w:r w:rsidRPr="00322A02">
        <w:rPr>
          <w:rFonts w:ascii="Arial" w:eastAsia="Times New Roman" w:hAnsi="Arial" w:cs="Arial"/>
          <w:b/>
          <w:sz w:val="20"/>
          <w:szCs w:val="20"/>
          <w:lang w:val="uk-UA" w:eastAsia="ru-RU"/>
        </w:rPr>
        <w:t>ВІДХОДИ</w:t>
      </w:r>
      <w:r w:rsidRPr="00005AA2">
        <w:rPr>
          <w:rFonts w:ascii="Arial" w:eastAsia="Times New Roman" w:hAnsi="Arial" w:cs="Arial"/>
          <w:sz w:val="20"/>
          <w:szCs w:val="20"/>
          <w:lang w:val="uk-UA" w:eastAsia="ru-RU"/>
        </w:rPr>
        <w:t>. Пріоритетність викликів цього сектору підтверджено. У ПДЗМ заходи у частині відходів мають бути узгодженими з регіональним планом управління відходами після його затвердження. Потрібно для аналізу використати</w:t>
      </w:r>
      <w:r w:rsidRPr="00005AA2">
        <w:rPr>
          <w:rFonts w:ascii="Arial" w:eastAsia="Times New Roman" w:hAnsi="Arial" w:cs="Arial"/>
          <w:sz w:val="20"/>
          <w:szCs w:val="20"/>
          <w:lang w:val="uk-UA" w:eastAsia="ru-RU"/>
        </w:rPr>
        <w:t xml:space="preserve"> </w:t>
      </w:r>
      <w:r w:rsidRPr="00005AA2">
        <w:rPr>
          <w:rFonts w:ascii="Arial" w:eastAsia="Times New Roman" w:hAnsi="Arial" w:cs="Arial"/>
          <w:sz w:val="20"/>
          <w:szCs w:val="20"/>
          <w:lang w:val="uk-UA" w:eastAsia="ru-RU"/>
        </w:rPr>
        <w:t xml:space="preserve">додатково результати еколого-соціальної оцінки ЄБРР </w:t>
      </w:r>
      <w:r w:rsidRPr="00005AA2">
        <w:rPr>
          <w:rFonts w:ascii="Arial" w:eastAsia="Times New Roman" w:hAnsi="Arial" w:cs="Arial"/>
          <w:sz w:val="20"/>
          <w:szCs w:val="20"/>
          <w:lang w:eastAsia="ru-RU"/>
        </w:rPr>
        <w:t>(</w:t>
      </w:r>
      <w:r w:rsidRPr="00005AA2">
        <w:rPr>
          <w:rFonts w:ascii="Arial" w:eastAsia="Times New Roman" w:hAnsi="Arial" w:cs="Arial"/>
          <w:sz w:val="20"/>
          <w:szCs w:val="20"/>
          <w:lang w:val="en-US" w:eastAsia="ru-RU"/>
        </w:rPr>
        <w:t>ESIA</w:t>
      </w:r>
      <w:r w:rsidRPr="00005AA2">
        <w:rPr>
          <w:rFonts w:ascii="Arial" w:eastAsia="Times New Roman" w:hAnsi="Arial" w:cs="Arial"/>
          <w:sz w:val="20"/>
          <w:szCs w:val="20"/>
          <w:lang w:eastAsia="ru-RU"/>
        </w:rPr>
        <w:t xml:space="preserve">) </w:t>
      </w:r>
      <w:r w:rsidRPr="00005AA2">
        <w:rPr>
          <w:rFonts w:ascii="Arial" w:eastAsia="Times New Roman" w:hAnsi="Arial" w:cs="Arial"/>
          <w:sz w:val="20"/>
          <w:szCs w:val="20"/>
          <w:lang w:val="uk-UA" w:eastAsia="ru-RU"/>
        </w:rPr>
        <w:t xml:space="preserve">для проекту </w:t>
      </w:r>
      <w:r w:rsidRPr="00005AA2">
        <w:rPr>
          <w:rFonts w:ascii="Arial" w:eastAsia="Times New Roman" w:hAnsi="Arial" w:cs="Arial"/>
          <w:sz w:val="20"/>
          <w:szCs w:val="20"/>
          <w:lang w:val="uk-UA" w:eastAsia="ru-RU"/>
        </w:rPr>
        <w:t>«</w:t>
      </w:r>
      <w:r w:rsidRPr="00005AA2">
        <w:rPr>
          <w:rFonts w:ascii="Arial" w:eastAsia="Times New Roman" w:hAnsi="Arial" w:cs="Arial"/>
          <w:sz w:val="20"/>
          <w:szCs w:val="20"/>
          <w:lang w:val="uk-UA" w:eastAsia="ru-RU"/>
        </w:rPr>
        <w:t>Поводження з ТПВ</w:t>
      </w:r>
      <w:r w:rsidRPr="00005AA2">
        <w:rPr>
          <w:rFonts w:ascii="Arial" w:eastAsia="Times New Roman" w:hAnsi="Arial" w:cs="Arial"/>
          <w:sz w:val="20"/>
          <w:szCs w:val="20"/>
          <w:lang w:val="uk-UA" w:eastAsia="ru-RU"/>
        </w:rPr>
        <w:t>»</w:t>
      </w:r>
      <w:r w:rsidRPr="00005AA2">
        <w:rPr>
          <w:rFonts w:ascii="Arial" w:eastAsia="Times New Roman" w:hAnsi="Arial" w:cs="Arial"/>
          <w:sz w:val="20"/>
          <w:szCs w:val="20"/>
          <w:lang w:val="uk-UA" w:eastAsia="ru-RU"/>
        </w:rPr>
        <w:t>. Отримано пропозиції потенційних заходів щодо зелених відходів. Підкреслено важливість та необхідність покращення інформаційної роботи, а також впровадження ІТ-рішень в усіх компонентах поводження з відходами.</w:t>
      </w:r>
    </w:p>
    <w:p w:rsidR="00005AA2" w:rsidRPr="00005AA2" w:rsidRDefault="00005AA2" w:rsidP="00F45EC5">
      <w:pPr>
        <w:pStyle w:val="a3"/>
        <w:numPr>
          <w:ilvl w:val="1"/>
          <w:numId w:val="5"/>
        </w:numPr>
        <w:spacing w:before="60" w:after="60" w:line="240" w:lineRule="auto"/>
        <w:ind w:left="567" w:hanging="283"/>
        <w:contextualSpacing w:val="0"/>
        <w:jc w:val="both"/>
        <w:rPr>
          <w:rFonts w:ascii="Arial" w:eastAsia="Times New Roman" w:hAnsi="Arial" w:cs="Arial"/>
          <w:sz w:val="20"/>
          <w:szCs w:val="20"/>
          <w:lang w:val="uk-UA" w:eastAsia="ru-RU"/>
        </w:rPr>
      </w:pPr>
      <w:r w:rsidRPr="00322A02">
        <w:rPr>
          <w:rFonts w:ascii="Arial" w:eastAsia="Times New Roman" w:hAnsi="Arial" w:cs="Arial"/>
          <w:b/>
          <w:sz w:val="20"/>
          <w:szCs w:val="20"/>
          <w:lang w:val="uk-UA" w:eastAsia="ru-RU"/>
        </w:rPr>
        <w:t>ТРАНСПОРТ</w:t>
      </w:r>
      <w:r w:rsidRPr="00005AA2">
        <w:rPr>
          <w:rFonts w:ascii="Arial" w:eastAsia="Times New Roman" w:hAnsi="Arial" w:cs="Arial"/>
          <w:sz w:val="20"/>
          <w:szCs w:val="20"/>
          <w:lang w:val="uk-UA" w:eastAsia="ru-RU"/>
        </w:rPr>
        <w:t>. Надалі потрібно буде при розробленні заходів врахувати просторовий аспект щодо різного ступеню впливу у різних частинах міста. Затори в місті підтверджені як велика проблема. Подальші заходи в ПДЗМ мають враховувати поступ у розпочатих містом наразі ініціатив щодо велосипедної інфраструктури та інфраструктури електричних транспортних засобів, започаткування паркувальної інспекції.</w:t>
      </w:r>
    </w:p>
    <w:p w:rsidR="005A0B77" w:rsidRPr="00322A02" w:rsidRDefault="00322A02" w:rsidP="00F45EC5">
      <w:pPr>
        <w:pStyle w:val="a3"/>
        <w:numPr>
          <w:ilvl w:val="0"/>
          <w:numId w:val="6"/>
        </w:numPr>
        <w:shd w:val="clear" w:color="auto" w:fill="FFFFFF"/>
        <w:spacing w:before="60" w:after="60" w:line="240" w:lineRule="auto"/>
        <w:ind w:left="284" w:hanging="284"/>
        <w:contextualSpacing w:val="0"/>
        <w:jc w:val="both"/>
        <w:rPr>
          <w:rFonts w:ascii="Arial" w:hAnsi="Arial" w:cs="Arial"/>
          <w:sz w:val="20"/>
          <w:szCs w:val="20"/>
          <w:lang w:val="uk-UA"/>
        </w:rPr>
      </w:pPr>
      <w:r w:rsidRPr="00322A02">
        <w:rPr>
          <w:rFonts w:ascii="Arial" w:hAnsi="Arial" w:cs="Arial"/>
          <w:b/>
          <w:sz w:val="20"/>
          <w:szCs w:val="20"/>
        </w:rPr>
        <w:t xml:space="preserve">СОЦІАЛЬНО-ЕКОНОМІЧНІ ТА ГЕНДЕРНІ АСПЕКТИ МІСТА. </w:t>
      </w:r>
      <w:r w:rsidRPr="00322A02">
        <w:rPr>
          <w:rFonts w:ascii="Arial" w:hAnsi="Arial" w:cs="Arial"/>
          <w:sz w:val="20"/>
          <w:szCs w:val="20"/>
          <w:lang w:val="uk-UA"/>
        </w:rPr>
        <w:t xml:space="preserve">Формально гендерні аспекти не акцентовані у міських програмах, але практика доводить інше. Містом здійснюється ряд заходів щодо покращення сфери фізичної доступності (пандуси, майданчики дитячі, умови для маломобільних груп, тощо), є заходи з просування жіночого бізнесу (фестивалі, конкурси), але уваги потребують заходи щодо фінансової та цифрової доступності, що сприятиме підвищенню рівня комфорту та безпеки для усіх груп населення, створенню зелених робочих місць, тощо. Запропоновано перегляд діючих міських програм з забезпеченням документальної фіксації гендерних аспектів в міських програмах, увагу </w:t>
      </w:r>
      <w:r w:rsidR="001E7867">
        <w:rPr>
          <w:rFonts w:ascii="Arial" w:hAnsi="Arial" w:cs="Arial"/>
          <w:sz w:val="20"/>
          <w:szCs w:val="20"/>
          <w:lang w:val="uk-UA"/>
        </w:rPr>
        <w:t xml:space="preserve">приділити </w:t>
      </w:r>
      <w:r w:rsidRPr="00322A02">
        <w:rPr>
          <w:rFonts w:ascii="Arial" w:hAnsi="Arial" w:cs="Arial"/>
          <w:sz w:val="20"/>
          <w:szCs w:val="20"/>
          <w:lang w:val="uk-UA"/>
        </w:rPr>
        <w:t>заход</w:t>
      </w:r>
      <w:r w:rsidR="001E7867">
        <w:rPr>
          <w:rFonts w:ascii="Arial" w:hAnsi="Arial" w:cs="Arial"/>
          <w:sz w:val="20"/>
          <w:szCs w:val="20"/>
          <w:lang w:val="uk-UA"/>
        </w:rPr>
        <w:t>ам</w:t>
      </w:r>
      <w:r w:rsidRPr="00322A02">
        <w:rPr>
          <w:rFonts w:ascii="Arial" w:hAnsi="Arial" w:cs="Arial"/>
          <w:sz w:val="20"/>
          <w:szCs w:val="20"/>
          <w:lang w:val="uk-UA"/>
        </w:rPr>
        <w:t xml:space="preserve"> зі створення робочих місць для жінок, організаці</w:t>
      </w:r>
      <w:r w:rsidR="001E7867">
        <w:rPr>
          <w:rFonts w:ascii="Arial" w:hAnsi="Arial" w:cs="Arial"/>
          <w:sz w:val="20"/>
          <w:szCs w:val="20"/>
          <w:lang w:val="uk-UA"/>
        </w:rPr>
        <w:t>ї</w:t>
      </w:r>
      <w:r w:rsidRPr="00322A02">
        <w:rPr>
          <w:rFonts w:ascii="Arial" w:hAnsi="Arial" w:cs="Arial"/>
          <w:sz w:val="20"/>
          <w:szCs w:val="20"/>
          <w:lang w:val="uk-UA"/>
        </w:rPr>
        <w:t xml:space="preserve"> навчання та підтримки жіночого підприємництва, залучення досвіду інших областей щодо підтримки ВПО, включення ВПО до соціального життя. Соціальна та гендерна рівність, інклюзивність та доступність мають бути керівними принципами ПДЗМ, та міської політики в цілому.</w:t>
      </w:r>
      <w:r w:rsidRPr="00322A02">
        <w:rPr>
          <w:rFonts w:ascii="Arial" w:hAnsi="Arial" w:cs="Arial"/>
          <w:b/>
          <w:sz w:val="20"/>
          <w:szCs w:val="20"/>
          <w:lang w:val="uk-UA"/>
        </w:rPr>
        <w:t xml:space="preserve">  </w:t>
      </w:r>
    </w:p>
    <w:p w:rsidR="005A0B77" w:rsidRPr="00322A02" w:rsidRDefault="00322A02" w:rsidP="00F45EC5">
      <w:pPr>
        <w:pStyle w:val="a3"/>
        <w:numPr>
          <w:ilvl w:val="0"/>
          <w:numId w:val="6"/>
        </w:numPr>
        <w:shd w:val="clear" w:color="auto" w:fill="FFFFFF"/>
        <w:spacing w:before="60" w:after="60" w:line="240" w:lineRule="auto"/>
        <w:ind w:left="284" w:hanging="284"/>
        <w:contextualSpacing w:val="0"/>
        <w:jc w:val="both"/>
        <w:rPr>
          <w:rFonts w:ascii="Arial" w:hAnsi="Arial" w:cs="Arial"/>
          <w:sz w:val="20"/>
          <w:szCs w:val="20"/>
          <w:lang w:val="uk-UA"/>
        </w:rPr>
      </w:pPr>
      <w:r w:rsidRPr="00322A02">
        <w:rPr>
          <w:rFonts w:ascii="Arial" w:hAnsi="Arial" w:cs="Arial"/>
          <w:sz w:val="20"/>
          <w:szCs w:val="20"/>
          <w:lang w:val="uk-UA"/>
        </w:rPr>
        <w:t>Відсутність даних та належної кількісної інформації не може сприйматись як відсутність проблеми</w:t>
      </w:r>
      <w:r w:rsidR="005A0B77" w:rsidRPr="00322A02">
        <w:rPr>
          <w:rFonts w:ascii="Arial" w:hAnsi="Arial" w:cs="Arial"/>
          <w:sz w:val="20"/>
          <w:szCs w:val="20"/>
          <w:lang w:val="uk-UA"/>
        </w:rPr>
        <w:t>.</w:t>
      </w:r>
    </w:p>
    <w:p w:rsidR="005A0B77" w:rsidRPr="00322A02" w:rsidRDefault="00322A02" w:rsidP="00F45EC5">
      <w:pPr>
        <w:pStyle w:val="a3"/>
        <w:numPr>
          <w:ilvl w:val="0"/>
          <w:numId w:val="6"/>
        </w:numPr>
        <w:shd w:val="clear" w:color="auto" w:fill="FFFFFF"/>
        <w:spacing w:before="60" w:after="60" w:line="240" w:lineRule="auto"/>
        <w:ind w:left="284" w:hanging="284"/>
        <w:contextualSpacing w:val="0"/>
        <w:jc w:val="both"/>
        <w:rPr>
          <w:rFonts w:ascii="Arial" w:hAnsi="Arial" w:cs="Arial"/>
          <w:sz w:val="20"/>
          <w:szCs w:val="20"/>
          <w:lang w:val="uk-UA"/>
        </w:rPr>
      </w:pPr>
      <w:r w:rsidRPr="00322A02">
        <w:rPr>
          <w:rFonts w:ascii="Arial" w:hAnsi="Arial" w:cs="Arial"/>
          <w:sz w:val="20"/>
          <w:szCs w:val="20"/>
          <w:lang w:val="uk-UA"/>
        </w:rPr>
        <w:t>В усіх напрямах пролунала думка щодо браку якісних даних, що може впливати на обґрунтованість проблематики, і відповідно, вибір рішень, які можуть не врахувати серйозні проблеми, особливо які стосуються наслідків кліматичних змін та збереження природних екосистем. А саме дії, пов'язані з адаптацією до зміни клімату, також охоплять інші пріоритети ПДЗМ, включаючи транспорт, енергетику, зелені зони, опірність підтопленням, гендерні аспекти тощо</w:t>
      </w:r>
      <w:r w:rsidR="005A0B77" w:rsidRPr="00322A02">
        <w:rPr>
          <w:rFonts w:ascii="Arial" w:hAnsi="Arial" w:cs="Arial"/>
          <w:sz w:val="20"/>
          <w:szCs w:val="20"/>
          <w:lang w:val="uk-UA"/>
        </w:rPr>
        <w:t>.</w:t>
      </w:r>
    </w:p>
    <w:p w:rsidR="005A0B77" w:rsidRPr="00322A02" w:rsidRDefault="00322A02" w:rsidP="005A0B77">
      <w:pPr>
        <w:pStyle w:val="a3"/>
        <w:numPr>
          <w:ilvl w:val="0"/>
          <w:numId w:val="6"/>
        </w:numPr>
        <w:shd w:val="clear" w:color="auto" w:fill="FFFFFF"/>
        <w:spacing w:after="0" w:line="240" w:lineRule="auto"/>
        <w:ind w:left="284" w:hanging="284"/>
        <w:jc w:val="both"/>
        <w:rPr>
          <w:rFonts w:ascii="Arial" w:hAnsi="Arial" w:cs="Arial"/>
          <w:sz w:val="20"/>
          <w:szCs w:val="20"/>
          <w:lang w:val="uk-UA"/>
        </w:rPr>
      </w:pPr>
      <w:r w:rsidRPr="00322A02">
        <w:rPr>
          <w:rFonts w:ascii="Arial" w:hAnsi="Arial" w:cs="Arial"/>
          <w:sz w:val="20"/>
          <w:szCs w:val="20"/>
          <w:lang w:val="uk-UA"/>
        </w:rPr>
        <w:lastRenderedPageBreak/>
        <w:t>Учасники продемонстрували свою прихильність ідеям зеленого міста, високу зацікавленість у вирішенні екологічних та секторальних проблем, що стоять перед містом, та готові брати участь у подальшому розробленні та реалізації ПДЗМ. Врахування думок усіх зацікавлених сторін – важлива складова партисипативного розроблення ПДЗМ спільними зусиллями</w:t>
      </w:r>
      <w:r w:rsidR="001E7867">
        <w:rPr>
          <w:rFonts w:ascii="Arial" w:hAnsi="Arial" w:cs="Arial"/>
          <w:sz w:val="20"/>
          <w:szCs w:val="20"/>
          <w:lang w:val="uk-UA"/>
        </w:rPr>
        <w:t>,</w:t>
      </w:r>
      <w:r w:rsidRPr="00322A02">
        <w:rPr>
          <w:rFonts w:ascii="Arial" w:hAnsi="Arial" w:cs="Arial"/>
          <w:sz w:val="20"/>
          <w:szCs w:val="20"/>
          <w:lang w:val="uk-UA"/>
        </w:rPr>
        <w:t xml:space="preserve"> </w:t>
      </w:r>
      <w:r w:rsidR="001E7867">
        <w:rPr>
          <w:rFonts w:ascii="Arial" w:hAnsi="Arial" w:cs="Arial"/>
          <w:sz w:val="20"/>
          <w:szCs w:val="20"/>
          <w:lang w:val="uk-UA"/>
        </w:rPr>
        <w:t xml:space="preserve">- </w:t>
      </w:r>
      <w:r w:rsidRPr="00322A02">
        <w:rPr>
          <w:rFonts w:ascii="Arial" w:hAnsi="Arial" w:cs="Arial"/>
          <w:sz w:val="20"/>
          <w:szCs w:val="20"/>
          <w:lang w:val="uk-UA"/>
        </w:rPr>
        <w:t xml:space="preserve">такий посил подано </w:t>
      </w:r>
      <w:r w:rsidR="001E7867">
        <w:rPr>
          <w:rFonts w:ascii="Arial" w:hAnsi="Arial" w:cs="Arial"/>
          <w:sz w:val="20"/>
          <w:szCs w:val="20"/>
          <w:lang w:val="uk-UA"/>
        </w:rPr>
        <w:t>командою проекту</w:t>
      </w:r>
      <w:r w:rsidRPr="00322A02">
        <w:rPr>
          <w:rFonts w:ascii="Arial" w:hAnsi="Arial" w:cs="Arial"/>
          <w:sz w:val="20"/>
          <w:szCs w:val="20"/>
          <w:lang w:val="uk-UA"/>
        </w:rPr>
        <w:t xml:space="preserve"> </w:t>
      </w:r>
      <w:r w:rsidR="001E7867">
        <w:rPr>
          <w:rFonts w:ascii="Arial" w:hAnsi="Arial" w:cs="Arial"/>
          <w:sz w:val="20"/>
          <w:szCs w:val="20"/>
          <w:lang w:val="uk-UA"/>
        </w:rPr>
        <w:t xml:space="preserve">з підготовки </w:t>
      </w:r>
      <w:r w:rsidRPr="00322A02">
        <w:rPr>
          <w:rFonts w:ascii="Arial" w:hAnsi="Arial" w:cs="Arial"/>
          <w:sz w:val="20"/>
          <w:szCs w:val="20"/>
          <w:lang w:val="uk-UA"/>
        </w:rPr>
        <w:t>Плану дій місцевій громаді під час залучення</w:t>
      </w:r>
      <w:r w:rsidR="005A0B77" w:rsidRPr="00322A02">
        <w:rPr>
          <w:rFonts w:ascii="Arial" w:hAnsi="Arial" w:cs="Arial"/>
          <w:sz w:val="20"/>
          <w:szCs w:val="20"/>
          <w:lang w:val="uk-UA"/>
        </w:rPr>
        <w:t xml:space="preserve">. </w:t>
      </w:r>
    </w:p>
    <w:p w:rsidR="005A0B77" w:rsidRPr="00322A02" w:rsidRDefault="005A0B77" w:rsidP="005A0B77">
      <w:pPr>
        <w:shd w:val="clear" w:color="auto" w:fill="FFFFFF"/>
        <w:spacing w:after="0" w:line="240" w:lineRule="auto"/>
        <w:jc w:val="both"/>
        <w:rPr>
          <w:rFonts w:ascii="Arial" w:hAnsi="Arial" w:cs="Arial"/>
          <w:sz w:val="20"/>
          <w:szCs w:val="20"/>
          <w:lang w:val="uk-UA"/>
        </w:rPr>
      </w:pPr>
    </w:p>
    <w:p w:rsidR="005A0B77" w:rsidRPr="00AE1F17" w:rsidRDefault="00AE1F17" w:rsidP="005A0B77">
      <w:pPr>
        <w:rPr>
          <w:rFonts w:ascii="Arial" w:hAnsi="Arial" w:cs="Arial"/>
          <w:b/>
          <w:sz w:val="20"/>
          <w:szCs w:val="20"/>
          <w:lang w:val="uk-UA"/>
        </w:rPr>
      </w:pPr>
      <w:r>
        <w:rPr>
          <w:rFonts w:ascii="Arial" w:hAnsi="Arial" w:cs="Arial"/>
          <w:b/>
          <w:sz w:val="20"/>
          <w:szCs w:val="20"/>
          <w:lang w:val="uk-UA"/>
        </w:rPr>
        <w:t xml:space="preserve">Подальші кроки після семінару </w:t>
      </w:r>
    </w:p>
    <w:p w:rsidR="002F5F12" w:rsidRDefault="00AE1F17" w:rsidP="001E7867">
      <w:pPr>
        <w:shd w:val="clear" w:color="auto" w:fill="FFFFFF"/>
        <w:spacing w:before="120" w:after="120" w:line="240" w:lineRule="auto"/>
        <w:jc w:val="both"/>
        <w:rPr>
          <w:rFonts w:ascii="Arial" w:eastAsia="Times New Roman" w:hAnsi="Arial" w:cs="Arial"/>
          <w:sz w:val="20"/>
          <w:szCs w:val="20"/>
          <w:lang w:val="uk-UA" w:eastAsia="ru-RU"/>
        </w:rPr>
      </w:pPr>
      <w:r w:rsidRPr="00AE1F17">
        <w:rPr>
          <w:rFonts w:ascii="Arial" w:eastAsia="Times New Roman" w:hAnsi="Arial" w:cs="Arial"/>
          <w:sz w:val="20"/>
          <w:szCs w:val="20"/>
          <w:lang w:val="uk-UA" w:eastAsia="ru-RU"/>
        </w:rPr>
        <w:t>Протягом двох тижнів зацікавлені сторони міста нада</w:t>
      </w:r>
      <w:r>
        <w:rPr>
          <w:rFonts w:ascii="Arial" w:eastAsia="Times New Roman" w:hAnsi="Arial" w:cs="Arial"/>
          <w:sz w:val="20"/>
          <w:szCs w:val="20"/>
          <w:lang w:val="uk-UA" w:eastAsia="ru-RU"/>
        </w:rPr>
        <w:t>ва</w:t>
      </w:r>
      <w:r w:rsidRPr="00AE1F17">
        <w:rPr>
          <w:rFonts w:ascii="Arial" w:eastAsia="Times New Roman" w:hAnsi="Arial" w:cs="Arial"/>
          <w:sz w:val="20"/>
          <w:szCs w:val="20"/>
          <w:lang w:val="uk-UA" w:eastAsia="ru-RU"/>
        </w:rPr>
        <w:t xml:space="preserve">ли свої </w:t>
      </w:r>
      <w:r>
        <w:rPr>
          <w:rFonts w:ascii="Arial" w:eastAsia="Times New Roman" w:hAnsi="Arial" w:cs="Arial"/>
          <w:sz w:val="20"/>
          <w:szCs w:val="20"/>
          <w:lang w:val="uk-UA" w:eastAsia="ru-RU"/>
        </w:rPr>
        <w:t xml:space="preserve">зауваження </w:t>
      </w:r>
      <w:r w:rsidRPr="00AE1F17">
        <w:rPr>
          <w:rFonts w:ascii="Arial" w:eastAsia="Times New Roman" w:hAnsi="Arial" w:cs="Arial"/>
          <w:sz w:val="20"/>
          <w:szCs w:val="20"/>
          <w:lang w:val="uk-UA" w:eastAsia="ru-RU"/>
        </w:rPr>
        <w:t>та пропозиції команді Аткінс; коментарі місцевих експертів стосу</w:t>
      </w:r>
      <w:r w:rsidR="001E7867">
        <w:rPr>
          <w:rFonts w:ascii="Arial" w:eastAsia="Times New Roman" w:hAnsi="Arial" w:cs="Arial"/>
          <w:sz w:val="20"/>
          <w:szCs w:val="20"/>
          <w:lang w:val="uk-UA" w:eastAsia="ru-RU"/>
        </w:rPr>
        <w:t>ються</w:t>
      </w:r>
      <w:r w:rsidRPr="00AE1F17">
        <w:rPr>
          <w:rFonts w:ascii="Arial" w:eastAsia="Times New Roman" w:hAnsi="Arial" w:cs="Arial"/>
          <w:sz w:val="20"/>
          <w:szCs w:val="20"/>
          <w:lang w:val="uk-UA" w:eastAsia="ru-RU"/>
        </w:rPr>
        <w:t xml:space="preserve"> переважно секторів</w:t>
      </w:r>
      <w:r>
        <w:rPr>
          <w:rFonts w:ascii="Arial" w:eastAsia="Times New Roman" w:hAnsi="Arial" w:cs="Arial"/>
          <w:sz w:val="20"/>
          <w:szCs w:val="20"/>
          <w:lang w:val="uk-UA" w:eastAsia="ru-RU"/>
        </w:rPr>
        <w:t xml:space="preserve"> довкілля та води</w:t>
      </w:r>
      <w:r w:rsidRPr="00AE1F17">
        <w:rPr>
          <w:rFonts w:ascii="Arial" w:eastAsia="Times New Roman" w:hAnsi="Arial" w:cs="Arial"/>
          <w:sz w:val="20"/>
          <w:szCs w:val="20"/>
          <w:lang w:val="uk-UA" w:eastAsia="ru-RU"/>
        </w:rPr>
        <w:t xml:space="preserve">, деякі пропозиції щодо відходів та транспорту та рекомендації щодо важливості </w:t>
      </w:r>
      <w:r>
        <w:rPr>
          <w:rFonts w:ascii="Arial" w:eastAsia="Times New Roman" w:hAnsi="Arial" w:cs="Arial"/>
          <w:sz w:val="20"/>
          <w:szCs w:val="20"/>
          <w:lang w:val="uk-UA" w:eastAsia="ru-RU"/>
        </w:rPr>
        <w:t>смарт-рішень</w:t>
      </w:r>
      <w:r w:rsidRPr="00AE1F17">
        <w:rPr>
          <w:rFonts w:ascii="Arial" w:eastAsia="Times New Roman" w:hAnsi="Arial" w:cs="Arial"/>
          <w:sz w:val="20"/>
          <w:szCs w:val="20"/>
          <w:lang w:val="uk-UA" w:eastAsia="ru-RU"/>
        </w:rPr>
        <w:t xml:space="preserve">. Була отримана додаткова інформація з соціально-економічних та гендерних </w:t>
      </w:r>
      <w:r w:rsidR="002F5F12">
        <w:rPr>
          <w:rFonts w:ascii="Arial" w:eastAsia="Times New Roman" w:hAnsi="Arial" w:cs="Arial"/>
          <w:sz w:val="20"/>
          <w:szCs w:val="20"/>
          <w:lang w:val="uk-UA" w:eastAsia="ru-RU"/>
        </w:rPr>
        <w:t>аспектів міста</w:t>
      </w:r>
      <w:r w:rsidRPr="00AE1F17">
        <w:rPr>
          <w:rFonts w:ascii="Arial" w:eastAsia="Times New Roman" w:hAnsi="Arial" w:cs="Arial"/>
          <w:sz w:val="20"/>
          <w:szCs w:val="20"/>
          <w:lang w:val="uk-UA" w:eastAsia="ru-RU"/>
        </w:rPr>
        <w:t xml:space="preserve">. </w:t>
      </w:r>
    </w:p>
    <w:p w:rsidR="005A0B77" w:rsidRPr="00AE1F17" w:rsidRDefault="00AE1F17" w:rsidP="001E7867">
      <w:pPr>
        <w:shd w:val="clear" w:color="auto" w:fill="FFFFFF"/>
        <w:spacing w:before="120" w:after="120" w:line="240" w:lineRule="auto"/>
        <w:jc w:val="both"/>
        <w:rPr>
          <w:rFonts w:ascii="Arial" w:hAnsi="Arial" w:cs="Arial"/>
          <w:sz w:val="20"/>
          <w:szCs w:val="20"/>
          <w:lang w:val="uk-UA"/>
        </w:rPr>
      </w:pPr>
      <w:r w:rsidRPr="00AE1F17">
        <w:rPr>
          <w:rFonts w:ascii="Arial" w:eastAsia="Times New Roman" w:hAnsi="Arial" w:cs="Arial"/>
          <w:sz w:val="20"/>
          <w:szCs w:val="20"/>
          <w:lang w:val="uk-UA" w:eastAsia="ru-RU"/>
        </w:rPr>
        <w:t xml:space="preserve">Усі зауваження та пропозиції </w:t>
      </w:r>
      <w:r w:rsidR="002F5F12">
        <w:rPr>
          <w:rFonts w:ascii="Arial" w:eastAsia="Times New Roman" w:hAnsi="Arial" w:cs="Arial"/>
          <w:sz w:val="20"/>
          <w:szCs w:val="20"/>
          <w:lang w:val="uk-UA" w:eastAsia="ru-RU"/>
        </w:rPr>
        <w:t xml:space="preserve">внесені у </w:t>
      </w:r>
      <w:r w:rsidRPr="00AE1F17">
        <w:rPr>
          <w:rFonts w:ascii="Arial" w:eastAsia="Times New Roman" w:hAnsi="Arial" w:cs="Arial"/>
          <w:sz w:val="20"/>
          <w:szCs w:val="20"/>
          <w:lang w:val="uk-UA" w:eastAsia="ru-RU"/>
        </w:rPr>
        <w:t>Реєстр коментарів та врахован</w:t>
      </w:r>
      <w:r w:rsidR="002F5F12">
        <w:rPr>
          <w:rFonts w:ascii="Arial" w:eastAsia="Times New Roman" w:hAnsi="Arial" w:cs="Arial"/>
          <w:sz w:val="20"/>
          <w:szCs w:val="20"/>
          <w:lang w:val="uk-UA" w:eastAsia="ru-RU"/>
        </w:rPr>
        <w:t>о</w:t>
      </w:r>
      <w:r w:rsidRPr="00AE1F17">
        <w:rPr>
          <w:rFonts w:ascii="Arial" w:eastAsia="Times New Roman" w:hAnsi="Arial" w:cs="Arial"/>
          <w:sz w:val="20"/>
          <w:szCs w:val="20"/>
          <w:lang w:val="uk-UA" w:eastAsia="ru-RU"/>
        </w:rPr>
        <w:t xml:space="preserve"> експертами під час доопрацювання </w:t>
      </w:r>
      <w:r w:rsidR="002F5F12">
        <w:rPr>
          <w:rFonts w:ascii="Arial" w:eastAsia="Times New Roman" w:hAnsi="Arial" w:cs="Arial"/>
          <w:sz w:val="20"/>
          <w:szCs w:val="20"/>
          <w:lang w:val="uk-UA" w:eastAsia="ru-RU"/>
        </w:rPr>
        <w:t xml:space="preserve">звітів </w:t>
      </w:r>
      <w:r w:rsidR="002F5F12" w:rsidRPr="00AE1F17">
        <w:rPr>
          <w:rFonts w:ascii="Arial" w:eastAsia="Times New Roman" w:hAnsi="Arial" w:cs="Arial"/>
          <w:sz w:val="20"/>
          <w:szCs w:val="20"/>
          <w:lang w:val="uk-UA" w:eastAsia="ru-RU"/>
        </w:rPr>
        <w:t>етапу</w:t>
      </w:r>
      <w:r w:rsidR="002F5F12">
        <w:rPr>
          <w:rFonts w:ascii="Arial" w:eastAsia="Times New Roman" w:hAnsi="Arial" w:cs="Arial"/>
          <w:sz w:val="20"/>
          <w:szCs w:val="20"/>
          <w:lang w:val="uk-UA" w:eastAsia="ru-RU"/>
        </w:rPr>
        <w:t xml:space="preserve"> визначення базової лінії</w:t>
      </w:r>
      <w:r w:rsidR="005A0B77" w:rsidRPr="00AE1F17">
        <w:rPr>
          <w:rFonts w:ascii="Arial" w:hAnsi="Arial" w:cs="Arial"/>
          <w:sz w:val="20"/>
          <w:szCs w:val="20"/>
          <w:lang w:val="uk-UA"/>
        </w:rPr>
        <w:t xml:space="preserve">. </w:t>
      </w:r>
    </w:p>
    <w:p w:rsidR="005A0B77" w:rsidRPr="00AE1F17" w:rsidRDefault="005A0B77" w:rsidP="005A0B77">
      <w:pPr>
        <w:pStyle w:val="a3"/>
        <w:jc w:val="both"/>
        <w:rPr>
          <w:rFonts w:ascii="Tahoma" w:eastAsia="Times New Roman" w:hAnsi="Tahoma" w:cs="Tahoma"/>
          <w:b/>
          <w:sz w:val="20"/>
          <w:szCs w:val="20"/>
          <w:lang w:val="uk-UA" w:eastAsia="ru-RU"/>
        </w:rPr>
      </w:pPr>
    </w:p>
    <w:p w:rsidR="005A0B77" w:rsidRDefault="005A0B77" w:rsidP="005A0B77">
      <w:pPr>
        <w:pStyle w:val="a3"/>
        <w:jc w:val="both"/>
        <w:rPr>
          <w:rFonts w:ascii="Tahoma" w:eastAsia="Times New Roman" w:hAnsi="Tahoma" w:cs="Tahoma"/>
          <w:b/>
          <w:sz w:val="20"/>
          <w:szCs w:val="20"/>
          <w:lang w:val="uk-UA" w:eastAsia="ru-RU"/>
        </w:rPr>
      </w:pPr>
      <w:bookmarkStart w:id="1" w:name="_GoBack"/>
      <w:bookmarkEnd w:id="1"/>
    </w:p>
    <w:sectPr w:rsidR="005A0B7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55E" w:rsidRDefault="009A455E" w:rsidP="00750602">
      <w:pPr>
        <w:spacing w:after="0" w:line="240" w:lineRule="auto"/>
      </w:pPr>
      <w:r>
        <w:separator/>
      </w:r>
    </w:p>
  </w:endnote>
  <w:endnote w:type="continuationSeparator" w:id="0">
    <w:p w:rsidR="009A455E" w:rsidRDefault="009A455E" w:rsidP="0075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55E" w:rsidRDefault="009A455E" w:rsidP="00750602">
      <w:pPr>
        <w:spacing w:after="0" w:line="240" w:lineRule="auto"/>
      </w:pPr>
      <w:r>
        <w:separator/>
      </w:r>
    </w:p>
  </w:footnote>
  <w:footnote w:type="continuationSeparator" w:id="0">
    <w:p w:rsidR="009A455E" w:rsidRDefault="009A455E" w:rsidP="00750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602" w:rsidRDefault="00750602">
    <w:pPr>
      <w:pStyle w:val="a6"/>
    </w:pPr>
    <w:r w:rsidRPr="000B4C38">
      <w:rPr>
        <w:noProof/>
      </w:rPr>
      <w:drawing>
        <wp:anchor distT="0" distB="0" distL="114300" distR="114300" simplePos="0" relativeHeight="251663360" behindDoc="0" locked="0" layoutInCell="1" allowOverlap="1" wp14:anchorId="7A35462F" wp14:editId="68D26E69">
          <wp:simplePos x="0" y="0"/>
          <wp:positionH relativeFrom="column">
            <wp:posOffset>2663190</wp:posOffset>
          </wp:positionH>
          <wp:positionV relativeFrom="paragraph">
            <wp:posOffset>-335280</wp:posOffset>
          </wp:positionV>
          <wp:extent cx="600075" cy="516255"/>
          <wp:effectExtent l="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4C38">
      <w:rPr>
        <w:noProof/>
      </w:rPr>
      <w:drawing>
        <wp:anchor distT="0" distB="0" distL="114300" distR="114300" simplePos="0" relativeHeight="251660288" behindDoc="0" locked="0" layoutInCell="1" allowOverlap="1" wp14:anchorId="6BE29D5D" wp14:editId="6FBBF636">
          <wp:simplePos x="0" y="0"/>
          <wp:positionH relativeFrom="column">
            <wp:posOffset>72390</wp:posOffset>
          </wp:positionH>
          <wp:positionV relativeFrom="paragraph">
            <wp:posOffset>-181610</wp:posOffset>
          </wp:positionV>
          <wp:extent cx="1255395" cy="400685"/>
          <wp:effectExtent l="0" t="0" r="0" b="0"/>
          <wp:wrapNone/>
          <wp:docPr id="11" name="Picture 10">
            <a:extLst xmlns:a="http://schemas.openxmlformats.org/drawingml/2006/main">
              <a:ext uri="{FF2B5EF4-FFF2-40B4-BE49-F238E27FC236}">
                <a16:creationId xmlns:a16="http://schemas.microsoft.com/office/drawing/2014/main" id="{27BC1410-0F3E-4A43-828F-C47854E767B4}"/>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27BC1410-0F3E-4A43-828F-C47854E767B4}"/>
                      </a:ext>
                    </a:extLst>
                  </pic:cNvPr>
                  <pic:cNvPicPr/>
                </pic:nvPicPr>
                <pic:blipFill>
                  <a:blip r:embed="rId2"/>
                  <a:stretch>
                    <a:fillRect/>
                  </a:stretch>
                </pic:blipFill>
                <pic:spPr>
                  <a:xfrm>
                    <a:off x="0" y="0"/>
                    <a:ext cx="1255395" cy="400685"/>
                  </a:xfrm>
                  <a:prstGeom prst="rect">
                    <a:avLst/>
                  </a:prstGeom>
                </pic:spPr>
              </pic:pic>
            </a:graphicData>
          </a:graphic>
          <wp14:sizeRelV relativeFrom="margin">
            <wp14:pctHeight>0</wp14:pctHeight>
          </wp14:sizeRelV>
        </wp:anchor>
      </w:drawing>
    </w:r>
    <w:r w:rsidRPr="000B4C38">
      <w:rPr>
        <w:noProof/>
      </w:rPr>
      <w:drawing>
        <wp:anchor distT="0" distB="0" distL="114300" distR="114300" simplePos="0" relativeHeight="251659264" behindDoc="0" locked="0" layoutInCell="1" allowOverlap="1" wp14:anchorId="18E17885" wp14:editId="1CD94662">
          <wp:simplePos x="0" y="0"/>
          <wp:positionH relativeFrom="column">
            <wp:posOffset>1430020</wp:posOffset>
          </wp:positionH>
          <wp:positionV relativeFrom="paragraph">
            <wp:posOffset>-120650</wp:posOffset>
          </wp:positionV>
          <wp:extent cx="1038860" cy="304800"/>
          <wp:effectExtent l="0" t="0" r="8890" b="0"/>
          <wp:wrapNone/>
          <wp:docPr id="8" name="Picture 7">
            <a:extLst xmlns:a="http://schemas.openxmlformats.org/drawingml/2006/main">
              <a:ext uri="{FF2B5EF4-FFF2-40B4-BE49-F238E27FC236}">
                <a16:creationId xmlns:a16="http://schemas.microsoft.com/office/drawing/2014/main" id="{B6E04BD2-6EB6-4270-B0F6-3DCB6CAF1BF0}"/>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6E04BD2-6EB6-4270-B0F6-3DCB6CAF1BF0}"/>
                      </a:ext>
                    </a:extLst>
                  </pic:cNvPr>
                  <pic:cNvPicPr/>
                </pic:nvPicPr>
                <pic:blipFill>
                  <a:blip r:embed="rId3"/>
                  <a:stretch>
                    <a:fillRect/>
                  </a:stretch>
                </pic:blipFill>
                <pic:spPr>
                  <a:xfrm>
                    <a:off x="0" y="0"/>
                    <a:ext cx="1038860" cy="304800"/>
                  </a:xfrm>
                  <a:prstGeom prst="rect">
                    <a:avLst/>
                  </a:prstGeom>
                </pic:spPr>
              </pic:pic>
            </a:graphicData>
          </a:graphic>
        </wp:anchor>
      </w:drawing>
    </w:r>
    <w:r w:rsidRPr="000B4C38">
      <w:rPr>
        <w:noProof/>
      </w:rPr>
      <w:drawing>
        <wp:anchor distT="0" distB="0" distL="114300" distR="114300" simplePos="0" relativeHeight="251661312" behindDoc="0" locked="0" layoutInCell="1" allowOverlap="1" wp14:anchorId="566DDCB1" wp14:editId="4FB849E4">
          <wp:simplePos x="0" y="0"/>
          <wp:positionH relativeFrom="column">
            <wp:posOffset>4588510</wp:posOffset>
          </wp:positionH>
          <wp:positionV relativeFrom="paragraph">
            <wp:posOffset>-288290</wp:posOffset>
          </wp:positionV>
          <wp:extent cx="594995" cy="573405"/>
          <wp:effectExtent l="0" t="0" r="0" b="0"/>
          <wp:wrapNone/>
          <wp:docPr id="7" name="Picture 6">
            <a:extLst xmlns:a="http://schemas.openxmlformats.org/drawingml/2006/main">
              <a:ext uri="{FF2B5EF4-FFF2-40B4-BE49-F238E27FC236}">
                <a16:creationId xmlns:a16="http://schemas.microsoft.com/office/drawing/2014/main" id="{35ED9290-CF9B-42F0-97E8-558E7C6F2C4D}"/>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5ED9290-CF9B-42F0-97E8-558E7C6F2C4D}"/>
                      </a:ext>
                    </a:extLst>
                  </pic:cNvPr>
                  <pic:cNvPicPr/>
                </pic:nvPicPr>
                <pic:blipFill>
                  <a:blip r:embed="rId4"/>
                  <a:stretch>
                    <a:fillRect/>
                  </a:stretch>
                </pic:blipFill>
                <pic:spPr>
                  <a:xfrm>
                    <a:off x="0" y="0"/>
                    <a:ext cx="594995" cy="573405"/>
                  </a:xfrm>
                  <a:prstGeom prst="rect">
                    <a:avLst/>
                  </a:prstGeom>
                </pic:spPr>
              </pic:pic>
            </a:graphicData>
          </a:graphic>
        </wp:anchor>
      </w:drawing>
    </w:r>
    <w:r w:rsidRPr="000B4C38">
      <w:rPr>
        <w:noProof/>
      </w:rPr>
      <w:drawing>
        <wp:anchor distT="0" distB="0" distL="114300" distR="114300" simplePos="0" relativeHeight="251662336" behindDoc="0" locked="1" layoutInCell="1" allowOverlap="1" wp14:anchorId="6BF796A1" wp14:editId="145A806C">
          <wp:simplePos x="0" y="0"/>
          <wp:positionH relativeFrom="rightMargin">
            <wp:posOffset>-2451735</wp:posOffset>
          </wp:positionH>
          <wp:positionV relativeFrom="page">
            <wp:posOffset>270510</wp:posOffset>
          </wp:positionV>
          <wp:extent cx="964565"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Atkins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4565" cy="445770"/>
                  </a:xfrm>
                  <a:prstGeom prst="rect">
                    <a:avLst/>
                  </a:prstGeom>
                </pic:spPr>
              </pic:pic>
            </a:graphicData>
          </a:graphic>
          <wp14:sizeRelH relativeFrom="margin">
            <wp14:pctWidth>0</wp14:pctWidth>
          </wp14:sizeRelH>
          <wp14:sizeRelV relativeFrom="margin">
            <wp14:pctHeight>0</wp14:pctHeight>
          </wp14:sizeRelV>
        </wp:anchor>
      </w:drawing>
    </w:r>
  </w:p>
  <w:p w:rsidR="00750602" w:rsidRDefault="0075060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9D3"/>
    <w:multiLevelType w:val="hybridMultilevel"/>
    <w:tmpl w:val="18D4E4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CD097D"/>
    <w:multiLevelType w:val="multilevel"/>
    <w:tmpl w:val="617C637A"/>
    <w:lvl w:ilvl="0">
      <w:start w:val="1"/>
      <w:numFmt w:val="bullet"/>
      <w:lvlText w:val=""/>
      <w:lvlJc w:val="left"/>
      <w:pPr>
        <w:tabs>
          <w:tab w:val="num" w:pos="-1032"/>
        </w:tabs>
        <w:ind w:left="-1032" w:hanging="360"/>
      </w:pPr>
      <w:rPr>
        <w:rFonts w:ascii="Symbol" w:hAnsi="Symbol" w:hint="default"/>
        <w:sz w:val="20"/>
      </w:rPr>
    </w:lvl>
    <w:lvl w:ilvl="1" w:tentative="1">
      <w:start w:val="1"/>
      <w:numFmt w:val="bullet"/>
      <w:lvlText w:val="o"/>
      <w:lvlJc w:val="left"/>
      <w:pPr>
        <w:tabs>
          <w:tab w:val="num" w:pos="-312"/>
        </w:tabs>
        <w:ind w:left="-312" w:hanging="360"/>
      </w:pPr>
      <w:rPr>
        <w:rFonts w:ascii="Courier New" w:hAnsi="Courier New" w:hint="default"/>
        <w:sz w:val="20"/>
      </w:rPr>
    </w:lvl>
    <w:lvl w:ilvl="2" w:tentative="1">
      <w:start w:val="1"/>
      <w:numFmt w:val="bullet"/>
      <w:lvlText w:val=""/>
      <w:lvlJc w:val="left"/>
      <w:pPr>
        <w:tabs>
          <w:tab w:val="num" w:pos="408"/>
        </w:tabs>
        <w:ind w:left="408" w:hanging="360"/>
      </w:pPr>
      <w:rPr>
        <w:rFonts w:ascii="Wingdings" w:hAnsi="Wingdings" w:hint="default"/>
        <w:sz w:val="20"/>
      </w:rPr>
    </w:lvl>
    <w:lvl w:ilvl="3" w:tentative="1">
      <w:start w:val="1"/>
      <w:numFmt w:val="bullet"/>
      <w:lvlText w:val=""/>
      <w:lvlJc w:val="left"/>
      <w:pPr>
        <w:tabs>
          <w:tab w:val="num" w:pos="1128"/>
        </w:tabs>
        <w:ind w:left="1128" w:hanging="360"/>
      </w:pPr>
      <w:rPr>
        <w:rFonts w:ascii="Wingdings" w:hAnsi="Wingdings" w:hint="default"/>
        <w:sz w:val="20"/>
      </w:rPr>
    </w:lvl>
    <w:lvl w:ilvl="4" w:tentative="1">
      <w:start w:val="1"/>
      <w:numFmt w:val="bullet"/>
      <w:lvlText w:val=""/>
      <w:lvlJc w:val="left"/>
      <w:pPr>
        <w:tabs>
          <w:tab w:val="num" w:pos="1848"/>
        </w:tabs>
        <w:ind w:left="1848" w:hanging="360"/>
      </w:pPr>
      <w:rPr>
        <w:rFonts w:ascii="Wingdings" w:hAnsi="Wingdings" w:hint="default"/>
        <w:sz w:val="20"/>
      </w:rPr>
    </w:lvl>
    <w:lvl w:ilvl="5" w:tentative="1">
      <w:start w:val="1"/>
      <w:numFmt w:val="bullet"/>
      <w:lvlText w:val=""/>
      <w:lvlJc w:val="left"/>
      <w:pPr>
        <w:tabs>
          <w:tab w:val="num" w:pos="2568"/>
        </w:tabs>
        <w:ind w:left="2568" w:hanging="360"/>
      </w:pPr>
      <w:rPr>
        <w:rFonts w:ascii="Wingdings" w:hAnsi="Wingdings" w:hint="default"/>
        <w:sz w:val="20"/>
      </w:rPr>
    </w:lvl>
    <w:lvl w:ilvl="6" w:tentative="1">
      <w:start w:val="1"/>
      <w:numFmt w:val="bullet"/>
      <w:lvlText w:val=""/>
      <w:lvlJc w:val="left"/>
      <w:pPr>
        <w:tabs>
          <w:tab w:val="num" w:pos="3288"/>
        </w:tabs>
        <w:ind w:left="3288" w:hanging="360"/>
      </w:pPr>
      <w:rPr>
        <w:rFonts w:ascii="Wingdings" w:hAnsi="Wingdings" w:hint="default"/>
        <w:sz w:val="20"/>
      </w:rPr>
    </w:lvl>
    <w:lvl w:ilvl="7" w:tentative="1">
      <w:start w:val="1"/>
      <w:numFmt w:val="bullet"/>
      <w:lvlText w:val=""/>
      <w:lvlJc w:val="left"/>
      <w:pPr>
        <w:tabs>
          <w:tab w:val="num" w:pos="4008"/>
        </w:tabs>
        <w:ind w:left="4008" w:hanging="360"/>
      </w:pPr>
      <w:rPr>
        <w:rFonts w:ascii="Wingdings" w:hAnsi="Wingdings" w:hint="default"/>
        <w:sz w:val="20"/>
      </w:rPr>
    </w:lvl>
    <w:lvl w:ilvl="8" w:tentative="1">
      <w:start w:val="1"/>
      <w:numFmt w:val="bullet"/>
      <w:lvlText w:val=""/>
      <w:lvlJc w:val="left"/>
      <w:pPr>
        <w:tabs>
          <w:tab w:val="num" w:pos="4728"/>
        </w:tabs>
        <w:ind w:left="4728" w:hanging="360"/>
      </w:pPr>
      <w:rPr>
        <w:rFonts w:ascii="Wingdings" w:hAnsi="Wingdings" w:hint="default"/>
        <w:sz w:val="20"/>
      </w:rPr>
    </w:lvl>
  </w:abstractNum>
  <w:abstractNum w:abstractNumId="2" w15:restartNumberingAfterBreak="0">
    <w:nsid w:val="1DCE140E"/>
    <w:multiLevelType w:val="hybridMultilevel"/>
    <w:tmpl w:val="072EC084"/>
    <w:lvl w:ilvl="0" w:tplc="897E1D9E">
      <w:numFmt w:val="bullet"/>
      <w:lvlText w:val="•"/>
      <w:lvlJc w:val="left"/>
      <w:pPr>
        <w:ind w:left="720" w:hanging="360"/>
      </w:pPr>
      <w:rPr>
        <w:rFonts w:ascii="Arial" w:eastAsiaTheme="minorHAnsi" w:hAnsi="Arial" w:cs="Arial"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CA43D8E"/>
    <w:multiLevelType w:val="hybridMultilevel"/>
    <w:tmpl w:val="7AACBF6A"/>
    <w:lvl w:ilvl="0" w:tplc="897E1D9E">
      <w:numFmt w:val="bullet"/>
      <w:lvlText w:val="•"/>
      <w:lvlJc w:val="left"/>
      <w:pPr>
        <w:ind w:left="720" w:hanging="360"/>
      </w:pPr>
      <w:rPr>
        <w:rFonts w:ascii="Arial" w:eastAsiaTheme="minorHAnsi" w:hAnsi="Arial" w:cs="Arial" w:hint="default"/>
        <w:b/>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B5A7EC7"/>
    <w:multiLevelType w:val="hybridMultilevel"/>
    <w:tmpl w:val="C482589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4CCB5D1B"/>
    <w:multiLevelType w:val="hybridMultilevel"/>
    <w:tmpl w:val="3BB4D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F12DAD"/>
    <w:multiLevelType w:val="hybridMultilevel"/>
    <w:tmpl w:val="B3F8BE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DD"/>
    <w:rsid w:val="00005AA2"/>
    <w:rsid w:val="00030C3E"/>
    <w:rsid w:val="000379C5"/>
    <w:rsid w:val="000411FA"/>
    <w:rsid w:val="001649D2"/>
    <w:rsid w:val="001B55A7"/>
    <w:rsid w:val="001E7867"/>
    <w:rsid w:val="001F73AA"/>
    <w:rsid w:val="00282548"/>
    <w:rsid w:val="002C0C3F"/>
    <w:rsid w:val="002D00DD"/>
    <w:rsid w:val="002F5F12"/>
    <w:rsid w:val="00322A02"/>
    <w:rsid w:val="003674E4"/>
    <w:rsid w:val="003746DF"/>
    <w:rsid w:val="003D67AB"/>
    <w:rsid w:val="0040655C"/>
    <w:rsid w:val="00445098"/>
    <w:rsid w:val="004609E8"/>
    <w:rsid w:val="0050686A"/>
    <w:rsid w:val="00514478"/>
    <w:rsid w:val="00517C52"/>
    <w:rsid w:val="00564F9F"/>
    <w:rsid w:val="005940A5"/>
    <w:rsid w:val="005A0B77"/>
    <w:rsid w:val="005B3C01"/>
    <w:rsid w:val="005D7297"/>
    <w:rsid w:val="005E2979"/>
    <w:rsid w:val="005E2CF2"/>
    <w:rsid w:val="00615847"/>
    <w:rsid w:val="006E196C"/>
    <w:rsid w:val="00721153"/>
    <w:rsid w:val="00750602"/>
    <w:rsid w:val="00785CEC"/>
    <w:rsid w:val="007A1210"/>
    <w:rsid w:val="007B02F0"/>
    <w:rsid w:val="007C435A"/>
    <w:rsid w:val="007D4567"/>
    <w:rsid w:val="00823221"/>
    <w:rsid w:val="009060C8"/>
    <w:rsid w:val="009806E5"/>
    <w:rsid w:val="009A455E"/>
    <w:rsid w:val="009D3966"/>
    <w:rsid w:val="009D5528"/>
    <w:rsid w:val="00A856F2"/>
    <w:rsid w:val="00AB6A3D"/>
    <w:rsid w:val="00AE1F17"/>
    <w:rsid w:val="00B36AAD"/>
    <w:rsid w:val="00BD5313"/>
    <w:rsid w:val="00C02CCA"/>
    <w:rsid w:val="00C32E0A"/>
    <w:rsid w:val="00C800EE"/>
    <w:rsid w:val="00C869B4"/>
    <w:rsid w:val="00CE43FB"/>
    <w:rsid w:val="00D370F3"/>
    <w:rsid w:val="00DD1EDD"/>
    <w:rsid w:val="00E05904"/>
    <w:rsid w:val="00E34877"/>
    <w:rsid w:val="00E4555E"/>
    <w:rsid w:val="00F05962"/>
    <w:rsid w:val="00F45EC5"/>
    <w:rsid w:val="00FE300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C3A8"/>
  <w15:chartTrackingRefBased/>
  <w15:docId w15:val="{1FB21554-7B41-4B31-8F7A-B0963543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00D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0DD"/>
    <w:pPr>
      <w:ind w:left="720"/>
      <w:contextualSpacing/>
    </w:pPr>
  </w:style>
  <w:style w:type="paragraph" w:styleId="a4">
    <w:name w:val="Body Text"/>
    <w:link w:val="a5"/>
    <w:uiPriority w:val="29"/>
    <w:semiHidden/>
    <w:qFormat/>
    <w:rsid w:val="002D00DD"/>
    <w:pPr>
      <w:spacing w:after="240" w:line="240" w:lineRule="auto"/>
    </w:pPr>
    <w:rPr>
      <w:rFonts w:ascii="Arial" w:eastAsia="Batang" w:hAnsi="Arial" w:cs="Arial"/>
      <w:color w:val="394A58"/>
      <w:sz w:val="20"/>
      <w:szCs w:val="20"/>
      <w:lang w:val="en-GB" w:eastAsia="ko-KR"/>
    </w:rPr>
  </w:style>
  <w:style w:type="character" w:customStyle="1" w:styleId="a5">
    <w:name w:val="Основной текст Знак"/>
    <w:basedOn w:val="a0"/>
    <w:link w:val="a4"/>
    <w:uiPriority w:val="29"/>
    <w:semiHidden/>
    <w:rsid w:val="002D00DD"/>
    <w:rPr>
      <w:rFonts w:ascii="Arial" w:eastAsia="Batang" w:hAnsi="Arial" w:cs="Arial"/>
      <w:color w:val="394A58"/>
      <w:sz w:val="20"/>
      <w:szCs w:val="20"/>
      <w:lang w:val="en-GB" w:eastAsia="ko-KR"/>
    </w:rPr>
  </w:style>
  <w:style w:type="table" w:customStyle="1" w:styleId="Atkins14pt">
    <w:name w:val="Atkins_1/4pt"/>
    <w:basedOn w:val="a1"/>
    <w:uiPriority w:val="99"/>
    <w:qFormat/>
    <w:rsid w:val="002D00DD"/>
    <w:pPr>
      <w:spacing w:after="0" w:line="240" w:lineRule="auto"/>
    </w:pPr>
    <w:rPr>
      <w:rFonts w:ascii="Arial" w:eastAsia="Batang" w:hAnsi="Arial" w:cs="Arial"/>
      <w:sz w:val="20"/>
      <w:szCs w:val="20"/>
      <w:lang w:val="en-GB" w:eastAsia="en-GB"/>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57" w:type="dxa"/>
        <w:right w:w="0" w:type="dxa"/>
      </w:tblCellMar>
    </w:tblPr>
    <w:tblStylePr w:type="firstRow">
      <w:pPr>
        <w:wordWrap/>
        <w:jc w:val="left"/>
      </w:pPr>
      <w:rPr>
        <w:rFonts w:ascii="Arial" w:hAnsi="Arial"/>
        <w:b/>
      </w:rPr>
      <w:tblPr/>
      <w:tcPr>
        <w:shd w:val="clear" w:color="auto" w:fill="A8D08D" w:themeFill="accent6" w:themeFillTint="99"/>
      </w:tcPr>
    </w:tblStylePr>
    <w:tblStylePr w:type="lastRow">
      <w:tblPr/>
      <w:tcPr>
        <w:tcBorders>
          <w:bottom w:val="single" w:sz="4" w:space="0" w:color="auto"/>
        </w:tcBorders>
      </w:tcPr>
    </w:tblStylePr>
    <w:tblStylePr w:type="firstCol">
      <w:pPr>
        <w:jc w:val="left"/>
      </w:pPr>
    </w:tblStylePr>
    <w:tblStylePr w:type="nwCell">
      <w:pPr>
        <w:jc w:val="left"/>
      </w:pPr>
    </w:tblStylePr>
  </w:style>
  <w:style w:type="paragraph" w:customStyle="1" w:styleId="paragraph">
    <w:name w:val="paragraph"/>
    <w:basedOn w:val="a"/>
    <w:rsid w:val="00282548"/>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normaltextrun">
    <w:name w:val="normaltextrun"/>
    <w:basedOn w:val="a0"/>
    <w:rsid w:val="00282548"/>
  </w:style>
  <w:style w:type="paragraph" w:styleId="a6">
    <w:name w:val="header"/>
    <w:basedOn w:val="a"/>
    <w:link w:val="a7"/>
    <w:uiPriority w:val="99"/>
    <w:unhideWhenUsed/>
    <w:rsid w:val="007506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0602"/>
    <w:rPr>
      <w:lang w:val="ru-RU"/>
    </w:rPr>
  </w:style>
  <w:style w:type="paragraph" w:styleId="a8">
    <w:name w:val="footer"/>
    <w:basedOn w:val="a"/>
    <w:link w:val="a9"/>
    <w:uiPriority w:val="99"/>
    <w:unhideWhenUsed/>
    <w:rsid w:val="007506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060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4022">
      <w:bodyDiv w:val="1"/>
      <w:marLeft w:val="0"/>
      <w:marRight w:val="0"/>
      <w:marTop w:val="0"/>
      <w:marBottom w:val="0"/>
      <w:divBdr>
        <w:top w:val="none" w:sz="0" w:space="0" w:color="auto"/>
        <w:left w:val="none" w:sz="0" w:space="0" w:color="auto"/>
        <w:bottom w:val="none" w:sz="0" w:space="0" w:color="auto"/>
        <w:right w:val="none" w:sz="0" w:space="0" w:color="auto"/>
      </w:divBdr>
    </w:div>
    <w:div w:id="729961917">
      <w:bodyDiv w:val="1"/>
      <w:marLeft w:val="0"/>
      <w:marRight w:val="0"/>
      <w:marTop w:val="0"/>
      <w:marBottom w:val="0"/>
      <w:divBdr>
        <w:top w:val="none" w:sz="0" w:space="0" w:color="auto"/>
        <w:left w:val="none" w:sz="0" w:space="0" w:color="auto"/>
        <w:bottom w:val="none" w:sz="0" w:space="0" w:color="auto"/>
        <w:right w:val="none" w:sz="0" w:space="0" w:color="auto"/>
      </w:divBdr>
    </w:div>
    <w:div w:id="1405295312">
      <w:bodyDiv w:val="1"/>
      <w:marLeft w:val="0"/>
      <w:marRight w:val="0"/>
      <w:marTop w:val="0"/>
      <w:marBottom w:val="0"/>
      <w:divBdr>
        <w:top w:val="none" w:sz="0" w:space="0" w:color="auto"/>
        <w:left w:val="none" w:sz="0" w:space="0" w:color="auto"/>
        <w:bottom w:val="none" w:sz="0" w:space="0" w:color="auto"/>
        <w:right w:val="none" w:sz="0" w:space="0" w:color="auto"/>
      </w:divBdr>
    </w:div>
    <w:div w:id="1578780212">
      <w:bodyDiv w:val="1"/>
      <w:marLeft w:val="0"/>
      <w:marRight w:val="0"/>
      <w:marTop w:val="0"/>
      <w:marBottom w:val="0"/>
      <w:divBdr>
        <w:top w:val="none" w:sz="0" w:space="0" w:color="auto"/>
        <w:left w:val="none" w:sz="0" w:space="0" w:color="auto"/>
        <w:bottom w:val="none" w:sz="0" w:space="0" w:color="auto"/>
        <w:right w:val="none" w:sz="0" w:space="0" w:color="auto"/>
      </w:divBdr>
    </w:div>
    <w:div w:id="1697121231">
      <w:bodyDiv w:val="1"/>
      <w:marLeft w:val="0"/>
      <w:marRight w:val="0"/>
      <w:marTop w:val="0"/>
      <w:marBottom w:val="0"/>
      <w:divBdr>
        <w:top w:val="none" w:sz="0" w:space="0" w:color="auto"/>
        <w:left w:val="none" w:sz="0" w:space="0" w:color="auto"/>
        <w:bottom w:val="none" w:sz="0" w:space="0" w:color="auto"/>
        <w:right w:val="none" w:sz="0" w:space="0" w:color="auto"/>
      </w:divBdr>
    </w:div>
    <w:div w:id="205214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78A29-7FAC-4EF8-BBE6-EE78A7AE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1278</Words>
  <Characters>8371</Characters>
  <Application>Microsoft Office Word</Application>
  <DocSecurity>0</DocSecurity>
  <Lines>232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 denko</dc:creator>
  <cp:keywords/>
  <dc:description/>
  <cp:lastModifiedBy>nata denko</cp:lastModifiedBy>
  <cp:revision>34</cp:revision>
  <dcterms:created xsi:type="dcterms:W3CDTF">2021-08-27T07:27:00Z</dcterms:created>
  <dcterms:modified xsi:type="dcterms:W3CDTF">2021-09-15T16:21:00Z</dcterms:modified>
</cp:coreProperties>
</file>