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84FD" w14:textId="77777777" w:rsidR="00E526A9" w:rsidRPr="00285DD1" w:rsidRDefault="00E526A9" w:rsidP="00E526A9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598CE2E6" wp14:editId="0CE96B6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CA2E" w14:textId="77777777" w:rsidR="00E526A9" w:rsidRPr="00285DD1" w:rsidRDefault="00E526A9" w:rsidP="00E526A9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61232AE" w14:textId="77777777" w:rsidR="00E526A9" w:rsidRPr="00285DD1" w:rsidRDefault="00E526A9" w:rsidP="00E526A9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9D35C" wp14:editId="66BE702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B5019" w14:textId="77777777" w:rsidR="00E526A9" w:rsidRPr="002E4473" w:rsidRDefault="00E526A9" w:rsidP="00E526A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9D35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FDB5019" w14:textId="77777777" w:rsidR="00E526A9" w:rsidRPr="002E4473" w:rsidRDefault="00E526A9" w:rsidP="00E526A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32F3399" w14:textId="77777777" w:rsidR="00E526A9" w:rsidRPr="00285DD1" w:rsidRDefault="00E526A9" w:rsidP="00E526A9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4DB4E1F" w14:textId="77777777" w:rsidR="00E526A9" w:rsidRPr="00285DD1" w:rsidRDefault="00E526A9" w:rsidP="00E526A9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23CA6" wp14:editId="2C3D7F0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C97EA" w14:textId="77777777" w:rsidR="00E526A9" w:rsidRPr="002E4473" w:rsidRDefault="00E526A9" w:rsidP="00E526A9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3CA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B9C97EA" w14:textId="77777777" w:rsidR="00E526A9" w:rsidRPr="002E4473" w:rsidRDefault="00E526A9" w:rsidP="00E526A9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EF766" wp14:editId="60A5E54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CB4C4" w14:textId="6364D151" w:rsidR="00E526A9" w:rsidRPr="002E4473" w:rsidRDefault="00E526A9" w:rsidP="00E526A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F76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17CB4C4" w14:textId="6364D151" w:rsidR="00E526A9" w:rsidRPr="002E4473" w:rsidRDefault="00E526A9" w:rsidP="00E526A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C50D76C" w14:textId="77777777" w:rsidR="00E526A9" w:rsidRPr="00285DD1" w:rsidRDefault="00E526A9" w:rsidP="00E526A9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2465341C" w14:textId="77777777" w:rsidR="00E526A9" w:rsidRDefault="00E526A9" w:rsidP="00E526A9">
      <w:pPr>
        <w:ind w:right="5102"/>
        <w:jc w:val="both"/>
        <w:rPr>
          <w:lang w:val="uk-UA"/>
        </w:rPr>
      </w:pPr>
    </w:p>
    <w:p w14:paraId="3A9C01CF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szCs w:val="20"/>
          <w:lang w:val="uk-UA" w:eastAsia="ar-SA"/>
        </w:rPr>
        <w:t>пожежно</w:t>
      </w:r>
      <w:proofErr w:type="spellEnd"/>
      <w:r w:rsidRPr="00FA71C4">
        <w:rPr>
          <w:szCs w:val="20"/>
          <w:lang w:val="uk-UA" w:eastAsia="ar-SA"/>
        </w:rPr>
        <w:t xml:space="preserve">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0DFE481B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6F20E87B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C83AB1F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4248A897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78788B0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4379C9FB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32467E92" w14:textId="4E2E0B82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proofErr w:type="spellStart"/>
      <w:r w:rsidR="00F2045F" w:rsidRPr="00FA71C4">
        <w:rPr>
          <w:color w:val="000000" w:themeColor="text1"/>
          <w:lang w:val="uk-UA"/>
        </w:rPr>
        <w:t>Внести</w:t>
      </w:r>
      <w:proofErr w:type="spellEnd"/>
      <w:r w:rsidR="00F2045F" w:rsidRPr="00FA71C4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55727F74" w14:textId="77777777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24906BDF" w14:textId="5A66A2AE"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Pr="00A771A4">
        <w:rPr>
          <w:rFonts w:eastAsia="Calibri"/>
          <w:bCs/>
          <w:color w:val="000000" w:themeColor="text1"/>
          <w:lang w:val="uk-UA" w:eastAsia="en-US"/>
        </w:rPr>
        <w:tab/>
        <w:t xml:space="preserve">в пункті 8 Паспорту Програми «Загальний обсяг фінансових ресурсів, необхідних для реалізації Програми» цифру 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>«585 207,9» замінити  на «650 802,9».</w:t>
      </w:r>
    </w:p>
    <w:p w14:paraId="5386FE9C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7CE29424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1B5A1162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69598A1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2B132B49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19705954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sectPr w:rsidR="00F2045F" w:rsidSect="00D53826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13459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66C66"/>
    <w:rsid w:val="0008682C"/>
    <w:rsid w:val="0009585B"/>
    <w:rsid w:val="000B1076"/>
    <w:rsid w:val="000D4251"/>
    <w:rsid w:val="000D5272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62167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5D2A97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90C1C"/>
    <w:rsid w:val="007A2075"/>
    <w:rsid w:val="007B7771"/>
    <w:rsid w:val="007C4247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771A4"/>
    <w:rsid w:val="00A821E6"/>
    <w:rsid w:val="00A96337"/>
    <w:rsid w:val="00AC2C35"/>
    <w:rsid w:val="00AE6AAE"/>
    <w:rsid w:val="00B10B33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53826"/>
    <w:rsid w:val="00D80464"/>
    <w:rsid w:val="00E02DD2"/>
    <w:rsid w:val="00E03112"/>
    <w:rsid w:val="00E13C07"/>
    <w:rsid w:val="00E31613"/>
    <w:rsid w:val="00E425D7"/>
    <w:rsid w:val="00E526A9"/>
    <w:rsid w:val="00E624A9"/>
    <w:rsid w:val="00E76AB0"/>
    <w:rsid w:val="00EA3C63"/>
    <w:rsid w:val="00EB6966"/>
    <w:rsid w:val="00EC0412"/>
    <w:rsid w:val="00ED5079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68D9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139E-6D10-4752-BC06-DBEDB23A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2</cp:revision>
  <cp:lastPrinted>2023-12-12T08:14:00Z</cp:lastPrinted>
  <dcterms:created xsi:type="dcterms:W3CDTF">2024-12-20T08:36:00Z</dcterms:created>
  <dcterms:modified xsi:type="dcterms:W3CDTF">2024-12-20T08:36:00Z</dcterms:modified>
</cp:coreProperties>
</file>